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49FA3" w14:textId="1EA99FB9" w:rsidR="00D321A6" w:rsidRPr="00D321A6" w:rsidRDefault="00D321A6" w:rsidP="00D321A6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D321A6">
        <w:rPr>
          <w:rFonts w:ascii="Times New Roman" w:eastAsia="Times New Roman" w:hAnsi="Times New Roman" w:cs="Times New Roman"/>
          <w:color w:val="212121"/>
          <w:kern w:val="0"/>
          <w:sz w:val="36"/>
          <w:szCs w:val="36"/>
          <w14:ligatures w14:val="none"/>
        </w:rPr>
        <w:fldChar w:fldCharType="begin"/>
      </w:r>
      <w:r w:rsidRPr="00D321A6">
        <w:rPr>
          <w:rFonts w:ascii="Times New Roman" w:eastAsia="Times New Roman" w:hAnsi="Times New Roman" w:cs="Times New Roman"/>
          <w:color w:val="212121"/>
          <w:kern w:val="0"/>
          <w:sz w:val="36"/>
          <w:szCs w:val="36"/>
          <w14:ligatures w14:val="none"/>
        </w:rPr>
        <w:instrText xml:space="preserve"> INCLUDEPICTURE "/Users/penelopedavis/Library/Group Containers/UBF8T346G9.ms/WebArchiveCopyPasteTempFiles/com.microsoft.Word/cid2530642394*image002.png@01DCA663.534B5010" \* MERGEFORMATINET </w:instrText>
      </w:r>
      <w:r w:rsidRPr="00D321A6">
        <w:rPr>
          <w:rFonts w:ascii="Times New Roman" w:eastAsia="Times New Roman" w:hAnsi="Times New Roman" w:cs="Times New Roman"/>
          <w:color w:val="212121"/>
          <w:kern w:val="0"/>
          <w:sz w:val="36"/>
          <w:szCs w:val="36"/>
          <w14:ligatures w14:val="none"/>
        </w:rPr>
        <w:fldChar w:fldCharType="separate"/>
      </w:r>
      <w:r w:rsidRPr="00D321A6">
        <w:rPr>
          <w:rFonts w:ascii="Times New Roman" w:eastAsia="Times New Roman" w:hAnsi="Times New Roman" w:cs="Times New Roman"/>
          <w:noProof/>
          <w:color w:val="212121"/>
          <w:kern w:val="0"/>
          <w:sz w:val="36"/>
          <w:szCs w:val="36"/>
          <w14:ligatures w14:val="none"/>
        </w:rPr>
        <w:drawing>
          <wp:inline distT="0" distB="0" distL="0" distR="0" wp14:anchorId="08050099" wp14:editId="1BEAED98">
            <wp:extent cx="5943600" cy="1186815"/>
            <wp:effectExtent l="0" t="0" r="0" b="0"/>
            <wp:docPr id="1117259529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2676D7A-CD0E-4567-B9C2-A5BA3485138B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8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21A6">
        <w:rPr>
          <w:rFonts w:ascii="Times New Roman" w:eastAsia="Times New Roman" w:hAnsi="Times New Roman" w:cs="Times New Roman"/>
          <w:color w:val="212121"/>
          <w:kern w:val="0"/>
          <w:sz w:val="36"/>
          <w:szCs w:val="36"/>
          <w14:ligatures w14:val="none"/>
        </w:rPr>
        <w:fldChar w:fldCharType="end"/>
      </w:r>
    </w:p>
    <w:p w14:paraId="3D9D0793" w14:textId="77777777" w:rsidR="00D321A6" w:rsidRPr="00D321A6" w:rsidRDefault="00D321A6" w:rsidP="00D321A6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D321A6">
        <w:rPr>
          <w:rFonts w:ascii="Aptos" w:eastAsia="Times New Roman" w:hAnsi="Aptos" w:cs="Times New Roman"/>
          <w:color w:val="212121"/>
          <w:kern w:val="0"/>
          <w14:ligatures w14:val="none"/>
        </w:rPr>
        <w:t> </w:t>
      </w:r>
    </w:p>
    <w:p w14:paraId="4C385503" w14:textId="77777777" w:rsidR="00D321A6" w:rsidRPr="00D321A6" w:rsidRDefault="00D321A6" w:rsidP="00D321A6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D321A6">
        <w:rPr>
          <w:rFonts w:ascii="Aptos" w:eastAsia="Times New Roman" w:hAnsi="Aptos" w:cs="Times New Roman"/>
          <w:color w:val="212121"/>
          <w:kern w:val="0"/>
          <w14:ligatures w14:val="none"/>
        </w:rPr>
        <w:t> </w:t>
      </w:r>
    </w:p>
    <w:p w14:paraId="2822404A" w14:textId="77777777" w:rsidR="00D321A6" w:rsidRPr="00D321A6" w:rsidRDefault="00D321A6" w:rsidP="00D321A6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D321A6">
        <w:rPr>
          <w:rFonts w:ascii="Times New Roman" w:eastAsia="Times New Roman" w:hAnsi="Times New Roman" w:cs="Times New Roman"/>
          <w:b/>
          <w:bCs/>
          <w:color w:val="212121"/>
          <w:kern w:val="0"/>
          <w:sz w:val="36"/>
          <w:szCs w:val="36"/>
          <w14:ligatures w14:val="none"/>
        </w:rPr>
        <w:t>Proposal 5 for a Shareholder Right to Act by Written Consent Deserves a Vote of support</w:t>
      </w:r>
      <w:r w:rsidRPr="00D321A6">
        <w:rPr>
          <w:rFonts w:ascii="Times New Roman" w:eastAsia="Times New Roman" w:hAnsi="Times New Roman" w:cs="Times New Roman"/>
          <w:b/>
          <w:bCs/>
          <w:color w:val="212121"/>
          <w:kern w:val="0"/>
          <w:sz w:val="36"/>
          <w:szCs w:val="36"/>
          <w14:ligatures w14:val="none"/>
        </w:rPr>
        <w:br/>
        <w:t> </w:t>
      </w:r>
      <w:r w:rsidRPr="00D321A6">
        <w:rPr>
          <w:rFonts w:ascii="Times New Roman" w:eastAsia="Times New Roman" w:hAnsi="Times New Roman" w:cs="Times New Roman"/>
          <w:b/>
          <w:bCs/>
          <w:color w:val="212121"/>
          <w:kern w:val="0"/>
          <w:sz w:val="36"/>
          <w:szCs w:val="36"/>
          <w14:ligatures w14:val="none"/>
        </w:rPr>
        <w:br/>
      </w:r>
      <w:r w:rsidRPr="00D321A6">
        <w:rPr>
          <w:rFonts w:ascii="Times New Roman" w:eastAsia="Times New Roman" w:hAnsi="Times New Roman" w:cs="Times New Roman"/>
          <w:color w:val="212121"/>
          <w:kern w:val="0"/>
          <w:sz w:val="36"/>
          <w:szCs w:val="36"/>
          <w14:ligatures w14:val="none"/>
        </w:rPr>
        <w:t>The Synopsys, Inc. (SNPS) opposition to this proposal starts off by poisoning its own well on credibility. It states that “extensive engagement” with SNPS shareholders resulted in SNPS adopting a 15% stock ownership threshold for SNPS shareholders to call for a special shareholder meeting. </w:t>
      </w:r>
      <w:r w:rsidRPr="00D321A6">
        <w:rPr>
          <w:rFonts w:ascii="Times New Roman" w:eastAsia="Times New Roman" w:hAnsi="Times New Roman" w:cs="Times New Roman"/>
          <w:color w:val="212121"/>
          <w:kern w:val="0"/>
          <w:sz w:val="36"/>
          <w:szCs w:val="36"/>
          <w14:ligatures w14:val="none"/>
        </w:rPr>
        <w:br/>
        <w:t> </w:t>
      </w:r>
      <w:r w:rsidRPr="00D321A6">
        <w:rPr>
          <w:rFonts w:ascii="Times New Roman" w:eastAsia="Times New Roman" w:hAnsi="Times New Roman" w:cs="Times New Roman"/>
          <w:color w:val="212121"/>
          <w:kern w:val="0"/>
          <w:sz w:val="36"/>
          <w:szCs w:val="36"/>
          <w14:ligatures w14:val="none"/>
        </w:rPr>
        <w:br/>
        <w:t>SNPS completely left out the fact that the 15% figure adopted by SNPS is not really 15% because all SNPS shareholders who do not own their shares for a full year are completely disqualified from calling for a special shareholder meeting. Thus, from the remaining pool of SNPS shareholders, 25% of SNPS shares could be required in order to make up the required 15% of all outstanding SNPS shares that are required to call for a special shareholder meeting.</w:t>
      </w:r>
      <w:r w:rsidRPr="00D321A6">
        <w:rPr>
          <w:rFonts w:ascii="Times New Roman" w:eastAsia="Times New Roman" w:hAnsi="Times New Roman" w:cs="Times New Roman"/>
          <w:color w:val="212121"/>
          <w:kern w:val="0"/>
          <w:sz w:val="36"/>
          <w:szCs w:val="36"/>
          <w14:ligatures w14:val="none"/>
        </w:rPr>
        <w:br/>
        <w:t> </w:t>
      </w:r>
      <w:r w:rsidRPr="00D321A6">
        <w:rPr>
          <w:rFonts w:ascii="Times New Roman" w:eastAsia="Times New Roman" w:hAnsi="Times New Roman" w:cs="Times New Roman"/>
          <w:color w:val="212121"/>
          <w:kern w:val="0"/>
          <w:sz w:val="36"/>
          <w:szCs w:val="36"/>
          <w14:ligatures w14:val="none"/>
        </w:rPr>
        <w:br/>
        <w:t>The fact that SNPS is bragging about shareholder engagement based on obscuring relevant information stains any SNPS claim of genuine shareholder engagement.</w:t>
      </w:r>
      <w:r w:rsidRPr="00D321A6">
        <w:rPr>
          <w:rFonts w:ascii="Times New Roman" w:eastAsia="Times New Roman" w:hAnsi="Times New Roman" w:cs="Times New Roman"/>
          <w:color w:val="212121"/>
          <w:kern w:val="0"/>
          <w:sz w:val="36"/>
          <w:szCs w:val="36"/>
          <w14:ligatures w14:val="none"/>
        </w:rPr>
        <w:br/>
        <w:t> </w:t>
      </w:r>
      <w:r w:rsidRPr="00D321A6">
        <w:rPr>
          <w:rFonts w:ascii="Times New Roman" w:eastAsia="Times New Roman" w:hAnsi="Times New Roman" w:cs="Times New Roman"/>
          <w:color w:val="212121"/>
          <w:kern w:val="0"/>
          <w:sz w:val="36"/>
          <w:szCs w:val="36"/>
          <w14:ligatures w14:val="none"/>
        </w:rPr>
        <w:br/>
        <w:t> </w:t>
      </w:r>
      <w:r w:rsidRPr="00D321A6">
        <w:rPr>
          <w:rFonts w:ascii="Times New Roman" w:eastAsia="Times New Roman" w:hAnsi="Times New Roman" w:cs="Times New Roman"/>
          <w:color w:val="212121"/>
          <w:kern w:val="0"/>
          <w:sz w:val="36"/>
          <w:szCs w:val="36"/>
          <w14:ligatures w14:val="none"/>
        </w:rPr>
        <w:br/>
        <w:t xml:space="preserve">SNPS also fails to understand that Written Consent is structured only for issues that have overwhelming SNPS shareholder </w:t>
      </w:r>
      <w:r w:rsidRPr="00D321A6">
        <w:rPr>
          <w:rFonts w:ascii="Times New Roman" w:eastAsia="Times New Roman" w:hAnsi="Times New Roman" w:cs="Times New Roman"/>
          <w:color w:val="212121"/>
          <w:kern w:val="0"/>
          <w:sz w:val="36"/>
          <w:szCs w:val="36"/>
          <w14:ligatures w14:val="none"/>
        </w:rPr>
        <w:lastRenderedPageBreak/>
        <w:t>support. </w:t>
      </w:r>
      <w:r w:rsidRPr="00D321A6">
        <w:rPr>
          <w:rFonts w:ascii="Times New Roman" w:eastAsia="Times New Roman" w:hAnsi="Times New Roman" w:cs="Times New Roman"/>
          <w:color w:val="212121"/>
          <w:kern w:val="0"/>
          <w:sz w:val="36"/>
          <w:szCs w:val="36"/>
          <w14:ligatures w14:val="none"/>
        </w:rPr>
        <w:br/>
        <w:t> </w:t>
      </w:r>
      <w:r w:rsidRPr="00D321A6">
        <w:rPr>
          <w:rFonts w:ascii="Times New Roman" w:eastAsia="Times New Roman" w:hAnsi="Times New Roman" w:cs="Times New Roman"/>
          <w:color w:val="212121"/>
          <w:kern w:val="0"/>
          <w:sz w:val="36"/>
          <w:szCs w:val="36"/>
          <w14:ligatures w14:val="none"/>
        </w:rPr>
        <w:br/>
        <w:t xml:space="preserve">Written consent is a shareholder right that requires the formal backing of a majority of all SNPS shares outstanding. This majority support requirement </w:t>
      </w:r>
      <w:proofErr w:type="gramStart"/>
      <w:r w:rsidRPr="00D321A6">
        <w:rPr>
          <w:rFonts w:ascii="Times New Roman" w:eastAsia="Times New Roman" w:hAnsi="Times New Roman" w:cs="Times New Roman"/>
          <w:color w:val="212121"/>
          <w:kern w:val="0"/>
          <w:sz w:val="36"/>
          <w:szCs w:val="36"/>
          <w14:ligatures w14:val="none"/>
        </w:rPr>
        <w:t>in reality is</w:t>
      </w:r>
      <w:proofErr w:type="gramEnd"/>
      <w:r w:rsidRPr="00D321A6">
        <w:rPr>
          <w:rFonts w:ascii="Times New Roman" w:eastAsia="Times New Roman" w:hAnsi="Times New Roman" w:cs="Times New Roman"/>
          <w:color w:val="212121"/>
          <w:kern w:val="0"/>
          <w:sz w:val="36"/>
          <w:szCs w:val="36"/>
          <w14:ligatures w14:val="none"/>
        </w:rPr>
        <w:t xml:space="preserve"> much more than majority support because it is not economically possible to contact a significant percent of SNPS shares to get their formal backing. </w:t>
      </w:r>
      <w:proofErr w:type="gramStart"/>
      <w:r w:rsidRPr="00D321A6">
        <w:rPr>
          <w:rFonts w:ascii="Times New Roman" w:eastAsia="Times New Roman" w:hAnsi="Times New Roman" w:cs="Times New Roman"/>
          <w:color w:val="212121"/>
          <w:kern w:val="0"/>
          <w:sz w:val="36"/>
          <w:szCs w:val="36"/>
          <w14:ligatures w14:val="none"/>
        </w:rPr>
        <w:t>Thus</w:t>
      </w:r>
      <w:proofErr w:type="gramEnd"/>
      <w:r w:rsidRPr="00D321A6">
        <w:rPr>
          <w:rFonts w:ascii="Times New Roman" w:eastAsia="Times New Roman" w:hAnsi="Times New Roman" w:cs="Times New Roman"/>
          <w:color w:val="212121"/>
          <w:kern w:val="0"/>
          <w:sz w:val="36"/>
          <w:szCs w:val="36"/>
          <w14:ligatures w14:val="none"/>
        </w:rPr>
        <w:t xml:space="preserve"> for an issue to still get majority support from all SNPS shares outstanding under written consent it could need 70% to 80% support from the remaining SNPS shares that it is economically possible to reach. </w:t>
      </w:r>
      <w:r w:rsidRPr="00D321A6">
        <w:rPr>
          <w:rFonts w:ascii="Times New Roman" w:eastAsia="Times New Roman" w:hAnsi="Times New Roman" w:cs="Times New Roman"/>
          <w:color w:val="212121"/>
          <w:kern w:val="0"/>
          <w:sz w:val="36"/>
          <w:szCs w:val="36"/>
          <w14:ligatures w14:val="none"/>
        </w:rPr>
        <w:br/>
      </w:r>
      <w:r w:rsidRPr="00D321A6">
        <w:rPr>
          <w:rFonts w:ascii="Times New Roman" w:eastAsia="Times New Roman" w:hAnsi="Times New Roman" w:cs="Times New Roman"/>
          <w:b/>
          <w:bCs/>
          <w:color w:val="212121"/>
          <w:kern w:val="0"/>
          <w:sz w:val="36"/>
          <w:szCs w:val="36"/>
          <w14:ligatures w14:val="none"/>
        </w:rPr>
        <w:br/>
      </w:r>
      <w:r w:rsidRPr="00D321A6">
        <w:rPr>
          <w:rFonts w:ascii="Times New Roman" w:eastAsia="Times New Roman" w:hAnsi="Times New Roman" w:cs="Times New Roman"/>
          <w:color w:val="212121"/>
          <w:kern w:val="0"/>
          <w:sz w:val="36"/>
          <w:szCs w:val="36"/>
          <w14:ligatures w14:val="none"/>
        </w:rPr>
        <w:t xml:space="preserve">Yet SNPS incorrectly gives the impression that written consent gives too much influence </w:t>
      </w:r>
      <w:proofErr w:type="gramStart"/>
      <w:r w:rsidRPr="00D321A6">
        <w:rPr>
          <w:rFonts w:ascii="Times New Roman" w:eastAsia="Times New Roman" w:hAnsi="Times New Roman" w:cs="Times New Roman"/>
          <w:color w:val="212121"/>
          <w:kern w:val="0"/>
          <w:sz w:val="36"/>
          <w:szCs w:val="36"/>
          <w14:ligatures w14:val="none"/>
        </w:rPr>
        <w:t>to</w:t>
      </w:r>
      <w:proofErr w:type="gramEnd"/>
      <w:r w:rsidRPr="00D321A6">
        <w:rPr>
          <w:rFonts w:ascii="Times New Roman" w:eastAsia="Times New Roman" w:hAnsi="Times New Roman" w:cs="Times New Roman"/>
          <w:color w:val="212121"/>
          <w:kern w:val="0"/>
          <w:sz w:val="36"/>
          <w:szCs w:val="36"/>
          <w14:ligatures w14:val="none"/>
        </w:rPr>
        <w:t xml:space="preserve"> a minority. The only role for a minority with written consent is to find an issue that has a good chance of obtaining 70% to 80% SNPS shareholder support. Unless there is 70% to 80% SNPS shareholder support an issue fails. </w:t>
      </w:r>
      <w:r w:rsidRPr="00D321A6">
        <w:rPr>
          <w:rFonts w:ascii="Times New Roman" w:eastAsia="Times New Roman" w:hAnsi="Times New Roman" w:cs="Times New Roman"/>
          <w:color w:val="212121"/>
          <w:kern w:val="0"/>
          <w:sz w:val="36"/>
          <w:szCs w:val="36"/>
          <w14:ligatures w14:val="none"/>
        </w:rPr>
        <w:br/>
        <w:t> </w:t>
      </w:r>
      <w:r w:rsidRPr="00D321A6">
        <w:rPr>
          <w:rFonts w:ascii="Times New Roman" w:eastAsia="Times New Roman" w:hAnsi="Times New Roman" w:cs="Times New Roman"/>
          <w:color w:val="212121"/>
          <w:kern w:val="0"/>
          <w:sz w:val="36"/>
          <w:szCs w:val="36"/>
          <w14:ligatures w14:val="none"/>
        </w:rPr>
        <w:br/>
        <w:t xml:space="preserve">It is </w:t>
      </w:r>
      <w:proofErr w:type="gramStart"/>
      <w:r w:rsidRPr="00D321A6">
        <w:rPr>
          <w:rFonts w:ascii="Times New Roman" w:eastAsia="Times New Roman" w:hAnsi="Times New Roman" w:cs="Times New Roman"/>
          <w:color w:val="212121"/>
          <w:kern w:val="0"/>
          <w:sz w:val="36"/>
          <w:szCs w:val="36"/>
          <w14:ligatures w14:val="none"/>
        </w:rPr>
        <w:t>all the more</w:t>
      </w:r>
      <w:proofErr w:type="gramEnd"/>
      <w:r w:rsidRPr="00D321A6">
        <w:rPr>
          <w:rFonts w:ascii="Times New Roman" w:eastAsia="Times New Roman" w:hAnsi="Times New Roman" w:cs="Times New Roman"/>
          <w:color w:val="212121"/>
          <w:kern w:val="0"/>
          <w:sz w:val="36"/>
          <w:szCs w:val="36"/>
          <w14:ligatures w14:val="none"/>
        </w:rPr>
        <w:t xml:space="preserve"> important to have written consent at SNPS because SNPS has disqualified all shares not owned for a full year from having any right to participate in calling for a special shareholder meeting. SNPS shareholders who recently purchased SNPS stock have a particular need for a right to act by written consent.</w:t>
      </w:r>
      <w:r w:rsidRPr="00D321A6">
        <w:rPr>
          <w:rFonts w:ascii="Times New Roman" w:eastAsia="Times New Roman" w:hAnsi="Times New Roman" w:cs="Times New Roman"/>
          <w:color w:val="212121"/>
          <w:kern w:val="0"/>
          <w:sz w:val="36"/>
          <w:szCs w:val="36"/>
          <w14:ligatures w14:val="none"/>
        </w:rPr>
        <w:br/>
        <w:t> </w:t>
      </w:r>
      <w:r w:rsidRPr="00D321A6">
        <w:rPr>
          <w:rFonts w:ascii="Times New Roman" w:eastAsia="Times New Roman" w:hAnsi="Times New Roman" w:cs="Times New Roman"/>
          <w:color w:val="212121"/>
          <w:kern w:val="0"/>
          <w:sz w:val="36"/>
          <w:szCs w:val="36"/>
          <w14:ligatures w14:val="none"/>
        </w:rPr>
        <w:br/>
        <w:t>This proposal won 51% support at CDW Corporation (CDW) in 2025. And CDW is just like SNPS which also disqualified all shares not owned for a year from any right to participate in calling for a special shareholder meeting.</w:t>
      </w:r>
      <w:r w:rsidRPr="00D321A6">
        <w:rPr>
          <w:rFonts w:ascii="Times New Roman" w:eastAsia="Times New Roman" w:hAnsi="Times New Roman" w:cs="Times New Roman"/>
          <w:color w:val="212121"/>
          <w:kern w:val="0"/>
          <w:sz w:val="36"/>
          <w:szCs w:val="36"/>
          <w14:ligatures w14:val="none"/>
        </w:rPr>
        <w:br/>
        <w:t> </w:t>
      </w:r>
      <w:r w:rsidRPr="00D321A6">
        <w:rPr>
          <w:rFonts w:ascii="Times New Roman" w:eastAsia="Times New Roman" w:hAnsi="Times New Roman" w:cs="Times New Roman"/>
          <w:color w:val="212121"/>
          <w:kern w:val="0"/>
          <w:sz w:val="36"/>
          <w:szCs w:val="36"/>
          <w14:ligatures w14:val="none"/>
        </w:rPr>
        <w:br/>
      </w:r>
      <w:r w:rsidRPr="00D321A6">
        <w:rPr>
          <w:rFonts w:ascii="Times New Roman" w:eastAsia="Times New Roman" w:hAnsi="Times New Roman" w:cs="Times New Roman"/>
          <w:color w:val="212121"/>
          <w:kern w:val="0"/>
          <w:sz w:val="36"/>
          <w:szCs w:val="36"/>
          <w14:ligatures w14:val="none"/>
        </w:rPr>
        <w:lastRenderedPageBreak/>
        <w:t>Janice D. Chaffin, Chair of the SNPS Governance Committee, deserves an against vote due to SNPS appearing to be ignorant of what a shareholder right to act by written consent is about.</w:t>
      </w:r>
      <w:r w:rsidRPr="00D321A6">
        <w:rPr>
          <w:rFonts w:ascii="Aptos" w:eastAsia="Times New Roman" w:hAnsi="Aptos" w:cs="Times New Roman"/>
          <w:color w:val="212121"/>
          <w:kern w:val="0"/>
          <w:sz w:val="36"/>
          <w:szCs w:val="36"/>
          <w14:ligatures w14:val="none"/>
        </w:rPr>
        <w:t> </w:t>
      </w:r>
    </w:p>
    <w:p w14:paraId="45091573" w14:textId="77777777" w:rsidR="00D321A6" w:rsidRPr="00D321A6" w:rsidRDefault="00D321A6" w:rsidP="00D321A6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D321A6">
        <w:rPr>
          <w:rFonts w:ascii="Aptos" w:eastAsia="Times New Roman" w:hAnsi="Aptos" w:cs="Times New Roman"/>
          <w:color w:val="212121"/>
          <w:kern w:val="0"/>
          <w14:ligatures w14:val="none"/>
        </w:rPr>
        <w:t> </w:t>
      </w:r>
    </w:p>
    <w:p w14:paraId="0888A9F5" w14:textId="77777777" w:rsidR="00D321A6" w:rsidRPr="00D321A6" w:rsidRDefault="00D321A6" w:rsidP="00D321A6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D321A6">
        <w:rPr>
          <w:rFonts w:ascii="Aptos" w:eastAsia="Times New Roman" w:hAnsi="Aptos" w:cs="Times New Roman"/>
          <w:color w:val="212121"/>
          <w:kern w:val="0"/>
          <w14:ligatures w14:val="none"/>
        </w:rPr>
        <w:t> </w:t>
      </w:r>
    </w:p>
    <w:p w14:paraId="7DECD2EC" w14:textId="77777777" w:rsidR="00D321A6" w:rsidRPr="00D321A6" w:rsidRDefault="00D321A6" w:rsidP="00D321A6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D321A6">
        <w:rPr>
          <w:rFonts w:ascii="Times New Roman" w:eastAsia="Times New Roman" w:hAnsi="Times New Roman" w:cs="Times New Roman"/>
          <w:b/>
          <w:bCs/>
          <w:color w:val="212121"/>
          <w:kern w:val="0"/>
          <w:sz w:val="36"/>
          <w:szCs w:val="36"/>
          <w14:ligatures w14:val="none"/>
        </w:rPr>
        <w:t>Notice of Exempt Solicitation (SNPS)</w:t>
      </w:r>
      <w:r w:rsidRPr="00D321A6">
        <w:rPr>
          <w:rFonts w:ascii="Times New Roman" w:eastAsia="Times New Roman" w:hAnsi="Times New Roman" w:cs="Times New Roman"/>
          <w:color w:val="212121"/>
          <w:kern w:val="0"/>
          <w:sz w:val="36"/>
          <w:szCs w:val="36"/>
          <w14:ligatures w14:val="none"/>
        </w:rPr>
        <w:br/>
        <w:t>Notice of Exempt Solicitation Pursuant to Rule 14a-103</w:t>
      </w:r>
      <w:r w:rsidRPr="00D321A6">
        <w:rPr>
          <w:rFonts w:ascii="Times New Roman" w:eastAsia="Times New Roman" w:hAnsi="Times New Roman" w:cs="Times New Roman"/>
          <w:color w:val="212121"/>
          <w:kern w:val="0"/>
          <w:sz w:val="36"/>
          <w:szCs w:val="36"/>
          <w14:ligatures w14:val="none"/>
        </w:rPr>
        <w:br/>
        <w:t>Name of Registrant: Synopsys, Inc. (SNPS) </w:t>
      </w:r>
      <w:r w:rsidRPr="00D321A6">
        <w:rPr>
          <w:rFonts w:ascii="Times New Roman" w:eastAsia="Times New Roman" w:hAnsi="Times New Roman" w:cs="Times New Roman"/>
          <w:color w:val="212121"/>
          <w:kern w:val="0"/>
          <w:sz w:val="36"/>
          <w:szCs w:val="36"/>
          <w14:ligatures w14:val="none"/>
        </w:rPr>
        <w:br/>
        <w:t>Name of person relying on exemption: John Chevedden, SNPS Shareholder since 2020</w:t>
      </w:r>
      <w:r w:rsidRPr="00D321A6">
        <w:rPr>
          <w:rFonts w:ascii="Times New Roman" w:eastAsia="Times New Roman" w:hAnsi="Times New Roman" w:cs="Times New Roman"/>
          <w:color w:val="212121"/>
          <w:kern w:val="0"/>
          <w:sz w:val="36"/>
          <w:szCs w:val="36"/>
          <w14:ligatures w14:val="none"/>
        </w:rPr>
        <w:br/>
        <w:t>Address of persons relying on exemption: POB 2673, Redondo Beach, CA 90278</w:t>
      </w:r>
      <w:r w:rsidRPr="00D321A6">
        <w:rPr>
          <w:rFonts w:ascii="Times New Roman" w:eastAsia="Times New Roman" w:hAnsi="Times New Roman" w:cs="Times New Roman"/>
          <w:color w:val="212121"/>
          <w:kern w:val="0"/>
          <w:sz w:val="36"/>
          <w:szCs w:val="36"/>
          <w14:ligatures w14:val="none"/>
        </w:rPr>
        <w:br/>
      </w:r>
      <w:r w:rsidRPr="00D321A6">
        <w:rPr>
          <w:rFonts w:ascii="Times New Roman" w:eastAsia="Times New Roman" w:hAnsi="Times New Roman" w:cs="Times New Roman"/>
          <w:color w:val="212121"/>
          <w:kern w:val="0"/>
          <w:sz w:val="36"/>
          <w:szCs w:val="36"/>
          <w14:ligatures w14:val="none"/>
        </w:rPr>
        <w:br/>
        <w:t>These written materials are submitted pursuant to Rule 14a-6(g)(1) promulgated under the Securities Exchange Act of 1934. John Chevedden does not beneficially own more than $5 million of the class of subject securities, and this notice of exempt solicitation is therefore being provided on a voluntary basis.</w:t>
      </w:r>
      <w:r w:rsidRPr="00D321A6">
        <w:rPr>
          <w:rFonts w:ascii="Times New Roman" w:eastAsia="Times New Roman" w:hAnsi="Times New Roman" w:cs="Times New Roman"/>
          <w:color w:val="212121"/>
          <w:kern w:val="0"/>
          <w:sz w:val="36"/>
          <w:szCs w:val="36"/>
          <w14:ligatures w14:val="none"/>
        </w:rPr>
        <w:br/>
        <w:t> </w:t>
      </w:r>
      <w:r w:rsidRPr="00D321A6">
        <w:rPr>
          <w:rFonts w:ascii="Times New Roman" w:eastAsia="Times New Roman" w:hAnsi="Times New Roman" w:cs="Times New Roman"/>
          <w:color w:val="212121"/>
          <w:kern w:val="0"/>
          <w:sz w:val="36"/>
          <w:szCs w:val="36"/>
          <w14:ligatures w14:val="none"/>
        </w:rPr>
        <w:br/>
        <w:t>This is not a solicitation of authority to vote your proxy.  </w:t>
      </w:r>
      <w:r w:rsidRPr="00D321A6">
        <w:rPr>
          <w:rFonts w:ascii="Times New Roman" w:eastAsia="Times New Roman" w:hAnsi="Times New Roman" w:cs="Times New Roman"/>
          <w:color w:val="212121"/>
          <w:kern w:val="0"/>
          <w:sz w:val="36"/>
          <w:szCs w:val="36"/>
          <w14:ligatures w14:val="none"/>
        </w:rPr>
        <w:br/>
        <w:t>Please DO NOT send me your proxy card; the shareholder is not able to vote your proxies, nor does this communication contemplate such an event.  </w:t>
      </w:r>
      <w:r w:rsidRPr="00D321A6">
        <w:rPr>
          <w:rFonts w:ascii="Times New Roman" w:eastAsia="Times New Roman" w:hAnsi="Times New Roman" w:cs="Times New Roman"/>
          <w:color w:val="212121"/>
          <w:kern w:val="0"/>
          <w:sz w:val="36"/>
          <w:szCs w:val="36"/>
          <w14:ligatures w14:val="none"/>
        </w:rPr>
        <w:br/>
      </w:r>
      <w:r w:rsidRPr="00D321A6">
        <w:rPr>
          <w:rFonts w:ascii="Times New Roman" w:eastAsia="Times New Roman" w:hAnsi="Times New Roman" w:cs="Times New Roman"/>
          <w:color w:val="212121"/>
          <w:kern w:val="0"/>
          <w:sz w:val="36"/>
          <w:szCs w:val="36"/>
          <w14:ligatures w14:val="none"/>
        </w:rPr>
        <w:br/>
        <w:t>The shareholder asks all shareholders to vote by following the procedural instructions provided in the proxy materials. </w:t>
      </w:r>
    </w:p>
    <w:p w14:paraId="7DFC88D5" w14:textId="77777777" w:rsidR="001E1C1F" w:rsidRDefault="001E1C1F"/>
    <w:sectPr w:rsidR="001E1C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1A6"/>
    <w:rsid w:val="001E1C1F"/>
    <w:rsid w:val="006E2EB6"/>
    <w:rsid w:val="00882E47"/>
    <w:rsid w:val="00A518F1"/>
    <w:rsid w:val="00D321A6"/>
    <w:rsid w:val="00E4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307853"/>
  <w15:chartTrackingRefBased/>
  <w15:docId w15:val="{DA380754-865E-2845-BE49-7D0ECDAC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21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21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1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1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1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1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1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1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1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1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21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1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1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1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1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1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1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1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21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2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1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21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21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21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21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21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1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1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21A6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D32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591</Words>
  <Characters>3025</Characters>
  <Application>Microsoft Office Word</Application>
  <DocSecurity>0</DocSecurity>
  <Lines>85</Lines>
  <Paragraphs>2</Paragraphs>
  <ScaleCrop>false</ScaleCrop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Penelope Davis</dc:creator>
  <cp:keywords/>
  <dc:description/>
  <cp:lastModifiedBy>Penelope Davis</cp:lastModifiedBy>
  <cp:revision>1</cp:revision>
  <dcterms:created xsi:type="dcterms:W3CDTF">2026-02-25T21:24:00Z</dcterms:created>
  <dcterms:modified xsi:type="dcterms:W3CDTF">2026-02-25T21:32:00Z</dcterms:modified>
</cp:coreProperties>
</file>