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9D14" w14:textId="77777777" w:rsidR="00EC253E" w:rsidRPr="00C467E9" w:rsidRDefault="00EC253E" w:rsidP="001C5B51">
      <w:pPr>
        <w:jc w:val="center"/>
        <w:rPr>
          <w:rFonts w:ascii="Tw Cen MT" w:hAnsi="Tw Cen MT"/>
        </w:rPr>
      </w:pPr>
      <w:bookmarkStart w:id="0" w:name="OLE_LINK6"/>
      <w:bookmarkStart w:id="1" w:name="OLE_LINK7"/>
      <w:r w:rsidRPr="00C467E9">
        <w:rPr>
          <w:rFonts w:ascii="Tw Cen MT" w:hAnsi="Tw Cen MT"/>
        </w:rPr>
        <w:t xml:space="preserve">United States Securities and Exchange Commission </w:t>
      </w:r>
      <w:r w:rsidRPr="00C467E9">
        <w:rPr>
          <w:rFonts w:ascii="Tw Cen MT" w:hAnsi="Tw Cen MT"/>
        </w:rPr>
        <w:br/>
        <w:t>Washington, D.C. 20549</w:t>
      </w:r>
    </w:p>
    <w:p w14:paraId="3E1BDE6F" w14:textId="77777777" w:rsidR="00EC253E" w:rsidRPr="00C467E9" w:rsidRDefault="00EC253E" w:rsidP="00B7277D">
      <w:pPr>
        <w:jc w:val="center"/>
        <w:rPr>
          <w:rFonts w:ascii="Tw Cen MT" w:hAnsi="Tw Cen MT"/>
        </w:rPr>
      </w:pPr>
    </w:p>
    <w:p w14:paraId="4E311DD1" w14:textId="77777777" w:rsidR="00EC253E" w:rsidRPr="00C467E9" w:rsidRDefault="00EC253E" w:rsidP="00B7277D">
      <w:pPr>
        <w:jc w:val="center"/>
        <w:rPr>
          <w:rFonts w:ascii="Tw Cen MT" w:hAnsi="Tw Cen MT"/>
        </w:rPr>
      </w:pPr>
      <w:r w:rsidRPr="00C467E9">
        <w:rPr>
          <w:rFonts w:ascii="Tw Cen MT" w:hAnsi="Tw Cen MT"/>
        </w:rPr>
        <w:t xml:space="preserve">NOTICE OF EXEMPT SOLICITATION </w:t>
      </w:r>
      <w:r w:rsidRPr="00C467E9">
        <w:rPr>
          <w:rFonts w:ascii="Tw Cen MT" w:hAnsi="Tw Cen MT"/>
        </w:rPr>
        <w:br/>
        <w:t>Pursuant to Rule 14a-103</w:t>
      </w:r>
    </w:p>
    <w:p w14:paraId="4D51BE6E" w14:textId="77777777" w:rsidR="00EC253E" w:rsidRPr="00C467E9" w:rsidRDefault="00EC253E" w:rsidP="00FF74AC">
      <w:pPr>
        <w:rPr>
          <w:rFonts w:ascii="Tw Cen MT" w:hAnsi="Tw Cen MT"/>
        </w:rPr>
      </w:pPr>
    </w:p>
    <w:p w14:paraId="25C6C218" w14:textId="77777777" w:rsidR="00EC253E" w:rsidRPr="00C467E9" w:rsidRDefault="00EC253E" w:rsidP="00FF74AC">
      <w:pPr>
        <w:rPr>
          <w:rFonts w:ascii="Tw Cen MT" w:hAnsi="Tw Cen MT"/>
        </w:rPr>
      </w:pPr>
      <w:r w:rsidRPr="00C467E9">
        <w:rPr>
          <w:rFonts w:ascii="Tw Cen MT" w:hAnsi="Tw Cen MT"/>
        </w:rPr>
        <w:t xml:space="preserve">United States Securities and Exchange Commission </w:t>
      </w:r>
    </w:p>
    <w:p w14:paraId="5510D6FA" w14:textId="77777777" w:rsidR="00EC253E" w:rsidRPr="00C467E9" w:rsidRDefault="00EC253E" w:rsidP="00FF74AC">
      <w:pPr>
        <w:rPr>
          <w:rFonts w:ascii="Tw Cen MT" w:hAnsi="Tw Cen MT"/>
        </w:rPr>
      </w:pPr>
      <w:r w:rsidRPr="00C467E9">
        <w:rPr>
          <w:rFonts w:ascii="Tw Cen MT" w:hAnsi="Tw Cen MT"/>
        </w:rPr>
        <w:t>Washington, D.C. 20549</w:t>
      </w:r>
    </w:p>
    <w:p w14:paraId="021420DF" w14:textId="77777777" w:rsidR="00EC253E" w:rsidRPr="00C467E9" w:rsidRDefault="00EC253E" w:rsidP="00FF74AC">
      <w:pPr>
        <w:rPr>
          <w:rFonts w:ascii="Tw Cen MT" w:hAnsi="Tw Cen MT"/>
        </w:rPr>
      </w:pPr>
    </w:p>
    <w:p w14:paraId="593DBBA4" w14:textId="77777777" w:rsidR="00EC253E" w:rsidRPr="00C467E9" w:rsidRDefault="00EC253E" w:rsidP="00FF74AC">
      <w:pPr>
        <w:rPr>
          <w:rFonts w:ascii="Tw Cen MT" w:hAnsi="Tw Cen MT"/>
        </w:rPr>
      </w:pPr>
      <w:r w:rsidRPr="00C467E9">
        <w:rPr>
          <w:rFonts w:ascii="Tw Cen MT" w:hAnsi="Tw Cen MT"/>
        </w:rPr>
        <w:t xml:space="preserve">NOTICE OF EXEMPT SOLICITATION </w:t>
      </w:r>
    </w:p>
    <w:p w14:paraId="30545800" w14:textId="77777777" w:rsidR="00EC253E" w:rsidRPr="00C467E9" w:rsidRDefault="00EC253E" w:rsidP="00FF74AC">
      <w:pPr>
        <w:rPr>
          <w:rFonts w:ascii="Tw Cen MT" w:hAnsi="Tw Cen MT"/>
        </w:rPr>
      </w:pPr>
      <w:r w:rsidRPr="00C467E9">
        <w:rPr>
          <w:rFonts w:ascii="Tw Cen MT" w:hAnsi="Tw Cen MT"/>
        </w:rPr>
        <w:t>Pursuant to Rule 14a-103</w:t>
      </w:r>
    </w:p>
    <w:p w14:paraId="2EC0C52D" w14:textId="77777777" w:rsidR="00EC253E" w:rsidRPr="00C467E9" w:rsidRDefault="00EC253E" w:rsidP="00FF74AC">
      <w:pPr>
        <w:rPr>
          <w:rFonts w:ascii="Tw Cen MT" w:hAnsi="Tw Cen MT"/>
        </w:rPr>
      </w:pPr>
    </w:p>
    <w:p w14:paraId="34592CA2" w14:textId="2EF4B0A5" w:rsidR="00EC253E" w:rsidRPr="00C467E9" w:rsidRDefault="00EC253E" w:rsidP="00FF74AC">
      <w:pPr>
        <w:rPr>
          <w:rFonts w:ascii="Tw Cen MT" w:hAnsi="Tw Cen MT"/>
        </w:rPr>
      </w:pPr>
      <w:r w:rsidRPr="00C467E9">
        <w:rPr>
          <w:rFonts w:ascii="Tw Cen MT" w:hAnsi="Tw Cen MT"/>
        </w:rPr>
        <w:t xml:space="preserve">Name of the Registrant: </w:t>
      </w:r>
      <w:r w:rsidR="00DD6A1F" w:rsidRPr="00C467E9">
        <w:rPr>
          <w:rFonts w:ascii="Tw Cen MT" w:hAnsi="Tw Cen MT"/>
        </w:rPr>
        <w:t>Walmart</w:t>
      </w:r>
      <w:r w:rsidR="0087060E" w:rsidRPr="00C467E9">
        <w:rPr>
          <w:rFonts w:ascii="Tw Cen MT" w:hAnsi="Tw Cen MT"/>
        </w:rPr>
        <w:t xml:space="preserve"> Inc.</w:t>
      </w:r>
    </w:p>
    <w:p w14:paraId="5C122229" w14:textId="4C940D2C" w:rsidR="00EC253E" w:rsidRPr="00C467E9" w:rsidRDefault="00EC253E" w:rsidP="00FF74AC">
      <w:pPr>
        <w:rPr>
          <w:rFonts w:ascii="Tw Cen MT" w:hAnsi="Tw Cen MT"/>
        </w:rPr>
      </w:pPr>
      <w:r w:rsidRPr="00C467E9">
        <w:rPr>
          <w:rFonts w:ascii="Tw Cen MT" w:hAnsi="Tw Cen MT"/>
        </w:rPr>
        <w:t xml:space="preserve">Name of persons relying on exemption: </w:t>
      </w:r>
      <w:r w:rsidR="00962A71" w:rsidRPr="00C467E9">
        <w:rPr>
          <w:rFonts w:ascii="Tw Cen MT" w:hAnsi="Tw Cen MT"/>
        </w:rPr>
        <w:t>The Shareholder Commons</w:t>
      </w:r>
      <w:r w:rsidR="00927EDF" w:rsidRPr="00C467E9">
        <w:rPr>
          <w:rFonts w:ascii="Tw Cen MT" w:hAnsi="Tw Cen MT"/>
        </w:rPr>
        <w:t>, Inc.</w:t>
      </w:r>
    </w:p>
    <w:p w14:paraId="5F50F764" w14:textId="77777777" w:rsidR="003008BD" w:rsidRPr="00C467E9" w:rsidRDefault="003008BD" w:rsidP="003008BD">
      <w:pPr>
        <w:rPr>
          <w:rFonts w:ascii="TwCenMT-Regular" w:hAnsi="TwCenMT-Regular" w:cs="TwCenMT-Regular" w:hint="eastAsia"/>
          <w:szCs w:val="24"/>
        </w:rPr>
      </w:pPr>
      <w:r w:rsidRPr="00C467E9">
        <w:rPr>
          <w:rFonts w:ascii="TwCenMT-Regular" w:hAnsi="TwCenMT-Regular" w:cs="TwCenMT-Regular"/>
          <w:szCs w:val="24"/>
        </w:rPr>
        <w:t>Address of persons relying on exemption: PO Box 1268, Northampton, Massachusetts 01061</w:t>
      </w:r>
    </w:p>
    <w:p w14:paraId="4EAC8E0E" w14:textId="77777777" w:rsidR="00C13E9F" w:rsidRPr="00C467E9" w:rsidRDefault="00C13E9F" w:rsidP="00FF74AC">
      <w:pPr>
        <w:rPr>
          <w:rFonts w:ascii="Tw Cen MT" w:hAnsi="Tw Cen MT"/>
        </w:rPr>
      </w:pPr>
    </w:p>
    <w:bookmarkEnd w:id="0"/>
    <w:bookmarkEnd w:id="1"/>
    <w:p w14:paraId="40CA0863" w14:textId="080949D4" w:rsidR="00575629" w:rsidRPr="00C467E9" w:rsidRDefault="00175661" w:rsidP="00175661">
      <w:r w:rsidRPr="79220896">
        <w:rPr>
          <w:rFonts w:ascii="Tw Cen MT" w:hAnsi="Tw Cen MT"/>
        </w:rPr>
        <w:t xml:space="preserve">Written materials are submitted pursuant to Rule 14a-6(g) (1) promulgated under the Securities Exchange Act of 1934. Submission is not required of this filer under the terms of the Rule, as the filer does not own any securities of the </w:t>
      </w:r>
      <w:proofErr w:type="gramStart"/>
      <w:r w:rsidRPr="79220896">
        <w:rPr>
          <w:rFonts w:ascii="Tw Cen MT" w:hAnsi="Tw Cen MT"/>
        </w:rPr>
        <w:t>registrant, but</w:t>
      </w:r>
      <w:proofErr w:type="gramEnd"/>
      <w:r w:rsidRPr="79220896">
        <w:rPr>
          <w:rFonts w:ascii="Tw Cen MT" w:hAnsi="Tw Cen MT"/>
        </w:rPr>
        <w:t xml:space="preserve"> is made voluntarily. </w:t>
      </w:r>
    </w:p>
    <w:p w14:paraId="14ECC868" w14:textId="77777777" w:rsidR="00992C4E" w:rsidRPr="00081490" w:rsidRDefault="00992C4E" w:rsidP="00992C4E">
      <w:pPr>
        <w:spacing w:before="100" w:beforeAutospacing="1" w:after="100" w:afterAutospacing="1"/>
        <w:jc w:val="center"/>
        <w:outlineLvl w:val="0"/>
        <w:rPr>
          <w:rFonts w:ascii="Times New Roman" w:eastAsia="Times New Roman" w:hAnsi="Times New Roman" w:cs="Times New Roman"/>
          <w:b/>
          <w:bCs/>
          <w:caps/>
          <w:color w:val="000000"/>
          <w:kern w:val="36"/>
          <w:sz w:val="24"/>
          <w:szCs w:val="24"/>
          <w:u w:val="single"/>
        </w:rPr>
      </w:pPr>
      <w:r w:rsidRPr="00081490">
        <w:rPr>
          <w:rFonts w:ascii="Times New Roman" w:eastAsia="Times New Roman" w:hAnsi="Times New Roman" w:cs="Times New Roman"/>
          <w:b/>
          <w:bCs/>
          <w:caps/>
          <w:color w:val="000000"/>
          <w:kern w:val="36"/>
          <w:sz w:val="24"/>
          <w:szCs w:val="24"/>
          <w:u w:val="single"/>
        </w:rPr>
        <w:t>Balancing Diversified Shareholder Value and Company Financial Returns</w:t>
      </w:r>
    </w:p>
    <w:p w14:paraId="1727719F" w14:textId="5D0E5C3D" w:rsidR="001276B6" w:rsidRPr="00C467E9" w:rsidRDefault="00E129C3" w:rsidP="00E47859">
      <w:pPr>
        <w:spacing w:before="200"/>
        <w:rPr>
          <w:rFonts w:cs="Times New Roman (Headings CS)"/>
          <w:b/>
          <w:bCs/>
          <w:caps/>
          <w:u w:val="single"/>
        </w:rPr>
      </w:pPr>
      <w:r w:rsidRPr="079B7EB5">
        <w:rPr>
          <w:b/>
          <w:bCs/>
          <w:u w:val="single"/>
        </w:rPr>
        <w:t xml:space="preserve">At Walmart, the average hourly wage </w:t>
      </w:r>
      <w:r w:rsidR="009331D6" w:rsidRPr="079B7EB5">
        <w:rPr>
          <w:b/>
          <w:bCs/>
          <w:u w:val="single"/>
        </w:rPr>
        <w:t>is not</w:t>
      </w:r>
      <w:r w:rsidRPr="079B7EB5">
        <w:rPr>
          <w:b/>
          <w:bCs/>
          <w:u w:val="single"/>
        </w:rPr>
        <w:t xml:space="preserve"> enough to sustain a single adult with no children</w:t>
      </w:r>
      <w:r w:rsidR="00094118" w:rsidRPr="079B7EB5">
        <w:rPr>
          <w:b/>
          <w:bCs/>
          <w:u w:val="single"/>
        </w:rPr>
        <w:t>,</w:t>
      </w:r>
      <w:r w:rsidRPr="079B7EB5">
        <w:rPr>
          <w:b/>
          <w:bCs/>
          <w:u w:val="single"/>
        </w:rPr>
        <w:t xml:space="preserve"> </w:t>
      </w:r>
      <w:r w:rsidR="0073079C" w:rsidRPr="079B7EB5">
        <w:rPr>
          <w:b/>
          <w:bCs/>
          <w:u w:val="single"/>
        </w:rPr>
        <w:t>even in low</w:t>
      </w:r>
      <w:r w:rsidR="00094118" w:rsidRPr="079B7EB5">
        <w:rPr>
          <w:b/>
          <w:bCs/>
          <w:u w:val="single"/>
        </w:rPr>
        <w:t>-</w:t>
      </w:r>
      <w:r w:rsidR="0073079C" w:rsidRPr="079B7EB5">
        <w:rPr>
          <w:b/>
          <w:bCs/>
          <w:u w:val="single"/>
        </w:rPr>
        <w:t>cost</w:t>
      </w:r>
      <w:r w:rsidR="005570B7" w:rsidRPr="079B7EB5">
        <w:rPr>
          <w:b/>
          <w:bCs/>
          <w:u w:val="single"/>
        </w:rPr>
        <w:t xml:space="preserve"> areas of the United States</w:t>
      </w:r>
      <w:r w:rsidRPr="079B7EB5">
        <w:rPr>
          <w:b/>
          <w:bCs/>
          <w:u w:val="single"/>
        </w:rPr>
        <w:t>.</w:t>
      </w:r>
      <w:r w:rsidR="005570B7" w:rsidRPr="079B7EB5">
        <w:rPr>
          <w:b/>
          <w:bCs/>
          <w:u w:val="single"/>
        </w:rPr>
        <w:t xml:space="preserve"> </w:t>
      </w:r>
      <w:r w:rsidR="00E63303" w:rsidRPr="079B7EB5">
        <w:rPr>
          <w:b/>
          <w:bCs/>
          <w:u w:val="single"/>
        </w:rPr>
        <w:t>T</w:t>
      </w:r>
      <w:r w:rsidR="0085004C" w:rsidRPr="079B7EB5">
        <w:rPr>
          <w:b/>
          <w:bCs/>
          <w:u w:val="single"/>
        </w:rPr>
        <w:t xml:space="preserve">his failure to provide </w:t>
      </w:r>
      <w:r w:rsidR="00063A22" w:rsidRPr="079B7EB5">
        <w:rPr>
          <w:b/>
          <w:bCs/>
          <w:u w:val="single"/>
        </w:rPr>
        <w:t xml:space="preserve">a living wage to </w:t>
      </w:r>
      <w:r w:rsidR="00094118" w:rsidRPr="079B7EB5">
        <w:rPr>
          <w:b/>
          <w:bCs/>
          <w:u w:val="single"/>
        </w:rPr>
        <w:t>people</w:t>
      </w:r>
      <w:r w:rsidR="00063A22" w:rsidRPr="079B7EB5">
        <w:rPr>
          <w:b/>
          <w:bCs/>
          <w:u w:val="single"/>
        </w:rPr>
        <w:t xml:space="preserve"> who work for a living </w:t>
      </w:r>
      <w:r w:rsidR="00060847" w:rsidRPr="079B7EB5">
        <w:rPr>
          <w:b/>
          <w:bCs/>
          <w:u w:val="single"/>
        </w:rPr>
        <w:t>threatens the entire economy</w:t>
      </w:r>
      <w:r w:rsidR="00E47859" w:rsidRPr="079B7EB5">
        <w:rPr>
          <w:b/>
          <w:bCs/>
          <w:u w:val="single"/>
        </w:rPr>
        <w:t>,</w:t>
      </w:r>
      <w:r w:rsidR="00BE4873" w:rsidRPr="079B7EB5">
        <w:rPr>
          <w:b/>
          <w:bCs/>
          <w:u w:val="single"/>
        </w:rPr>
        <w:t xml:space="preserve"> and </w:t>
      </w:r>
      <w:r w:rsidR="00054B6B" w:rsidRPr="079B7EB5">
        <w:rPr>
          <w:b/>
          <w:bCs/>
          <w:u w:val="single"/>
        </w:rPr>
        <w:t xml:space="preserve">thus </w:t>
      </w:r>
      <w:r w:rsidR="00BE4873" w:rsidRPr="079B7EB5">
        <w:rPr>
          <w:b/>
          <w:bCs/>
          <w:u w:val="single"/>
        </w:rPr>
        <w:t>the investment portfolios of the average diversified investor</w:t>
      </w:r>
      <w:r w:rsidR="00B32FB2" w:rsidRPr="079B7EB5">
        <w:rPr>
          <w:b/>
          <w:bCs/>
          <w:u w:val="single"/>
        </w:rPr>
        <w:t>.</w:t>
      </w:r>
    </w:p>
    <w:p w14:paraId="441E2D42" w14:textId="5AA55A99" w:rsidR="002C6891" w:rsidRPr="00C467E9" w:rsidRDefault="3D16723B" w:rsidP="1C52C600">
      <w:r w:rsidRPr="00C467E9">
        <w:t>T</w:t>
      </w:r>
      <w:r w:rsidR="0A7A45DC" w:rsidRPr="00C467E9">
        <w:t xml:space="preserve">he </w:t>
      </w:r>
      <w:r w:rsidR="380CBAAA" w:rsidRPr="00C467E9">
        <w:t>Shareholder Commons</w:t>
      </w:r>
      <w:r w:rsidR="6BB99662" w:rsidRPr="00C467E9">
        <w:t xml:space="preserve"> urge</w:t>
      </w:r>
      <w:r w:rsidR="1132395D" w:rsidRPr="00C467E9">
        <w:t>s</w:t>
      </w:r>
      <w:r w:rsidR="3EFD066A" w:rsidRPr="00C467E9">
        <w:t xml:space="preserve"> </w:t>
      </w:r>
      <w:r w:rsidR="007E20A2" w:rsidRPr="00C467E9">
        <w:t xml:space="preserve">(“TSC”) </w:t>
      </w:r>
      <w:r w:rsidR="6BB99662" w:rsidRPr="00C467E9">
        <w:t xml:space="preserve">you to </w:t>
      </w:r>
      <w:r w:rsidR="0095391F" w:rsidRPr="00081490">
        <w:rPr>
          <w:rFonts w:ascii="Times New Roman" w:eastAsia="Times New Roman" w:hAnsi="Times New Roman" w:cs="Times New Roman"/>
          <w:color w:val="000000"/>
        </w:rPr>
        <w:t>vote </w:t>
      </w:r>
      <w:r w:rsidR="0095391F" w:rsidRPr="00081490">
        <w:rPr>
          <w:rFonts w:ascii="Times New Roman" w:eastAsia="Times New Roman" w:hAnsi="Times New Roman" w:cs="Times New Roman"/>
          <w:b/>
          <w:bCs/>
          <w:color w:val="000000"/>
        </w:rPr>
        <w:t>“AGAINST” Gregory B. Penner, Chair of the Board</w:t>
      </w:r>
      <w:r w:rsidR="0095391F" w:rsidRPr="00081490">
        <w:rPr>
          <w:rFonts w:ascii="Times New Roman" w:eastAsia="Times New Roman" w:hAnsi="Times New Roman" w:cs="Times New Roman"/>
          <w:color w:val="000000"/>
        </w:rPr>
        <w:t> (Item 1</w:t>
      </w:r>
      <w:r w:rsidR="0095391F" w:rsidRPr="003652D8">
        <w:rPr>
          <w:rFonts w:ascii="Times New Roman" w:eastAsia="Times New Roman" w:hAnsi="Times New Roman" w:cs="Times New Roman"/>
          <w:color w:val="000000"/>
        </w:rPr>
        <w:t>j</w:t>
      </w:r>
      <w:r w:rsidR="0095391F" w:rsidRPr="00081490">
        <w:rPr>
          <w:rFonts w:ascii="Times New Roman" w:eastAsia="Times New Roman" w:hAnsi="Times New Roman" w:cs="Times New Roman"/>
          <w:color w:val="000000"/>
        </w:rPr>
        <w:t xml:space="preserve"> on the proxy), due to Walmart’s failure to pay a living wage, which exposes its diversified shareholders’ portfolios to broader economic harm stemming from low wages and income inequality</w:t>
      </w:r>
      <w:r w:rsidR="4B6428C5" w:rsidRPr="00C467E9">
        <w:t>.</w:t>
      </w:r>
    </w:p>
    <w:p w14:paraId="67373915" w14:textId="4E3F9404" w:rsidR="00224320" w:rsidRDefault="00224320" w:rsidP="00224320">
      <w:pPr>
        <w:spacing w:before="100" w:beforeAutospacing="1" w:after="100" w:afterAutospacing="1"/>
        <w:rPr>
          <w:rFonts w:ascii="Times New Roman" w:eastAsia="Times New Roman" w:hAnsi="Times New Roman" w:cs="Times New Roman"/>
          <w:color w:val="000000"/>
        </w:rPr>
      </w:pPr>
      <w:r w:rsidRPr="00081490">
        <w:rPr>
          <w:rFonts w:ascii="Times New Roman" w:eastAsia="Times New Roman" w:hAnsi="Times New Roman" w:cs="Times New Roman"/>
          <w:color w:val="000000"/>
        </w:rPr>
        <w:t xml:space="preserve">TSC is a non-profit advocate for diversified shareholders that works with investors to stop portfolio companies </w:t>
      </w:r>
      <w:r w:rsidRPr="003652D8">
        <w:rPr>
          <w:rFonts w:ascii="Times New Roman" w:eastAsia="Times New Roman" w:hAnsi="Times New Roman" w:cs="Times New Roman"/>
          <w:color w:val="000000"/>
        </w:rPr>
        <w:t>such as</w:t>
      </w:r>
      <w:r w:rsidRPr="00081490">
        <w:rPr>
          <w:rFonts w:ascii="Times New Roman" w:eastAsia="Times New Roman" w:hAnsi="Times New Roman" w:cs="Times New Roman"/>
          <w:color w:val="000000"/>
        </w:rPr>
        <w:t xml:space="preserve"> Walmart from externalizing costs in ways that </w:t>
      </w:r>
      <w:r>
        <w:rPr>
          <w:rFonts w:ascii="Times New Roman" w:eastAsia="Times New Roman" w:hAnsi="Times New Roman" w:cs="Times New Roman"/>
          <w:color w:val="000000"/>
        </w:rPr>
        <w:t xml:space="preserve">can </w:t>
      </w:r>
      <w:r w:rsidRPr="00081490">
        <w:rPr>
          <w:rFonts w:ascii="Times New Roman" w:eastAsia="Times New Roman" w:hAnsi="Times New Roman" w:cs="Times New Roman"/>
          <w:color w:val="000000"/>
        </w:rPr>
        <w:t xml:space="preserve">threaten the value of diversified portfolios. </w:t>
      </w:r>
      <w:r w:rsidR="0085773E">
        <w:t>TSC addresses the interests of diversified shareholders in optimizing overall market returns</w:t>
      </w:r>
      <w:r w:rsidRPr="003652D8">
        <w:rPr>
          <w:rFonts w:ascii="Times New Roman" w:eastAsia="Times New Roman" w:hAnsi="Times New Roman" w:cs="Times New Roman"/>
          <w:color w:val="000000"/>
        </w:rPr>
        <w:t>.</w:t>
      </w:r>
    </w:p>
    <w:p w14:paraId="204BB1C8" w14:textId="718F14FB" w:rsidR="004F6D89" w:rsidRPr="00081490" w:rsidRDefault="004F6D89" w:rsidP="00224320">
      <w:pPr>
        <w:spacing w:before="100" w:beforeAutospacing="1" w:after="100" w:afterAutospacing="1"/>
        <w:rPr>
          <w:rFonts w:ascii="Times New Roman" w:eastAsia="Times New Roman" w:hAnsi="Times New Roman" w:cs="Times New Roman"/>
          <w:color w:val="000000"/>
        </w:rPr>
      </w:pPr>
      <w:r w:rsidRPr="00081490">
        <w:rPr>
          <w:rFonts w:ascii="Times New Roman" w:eastAsia="Times New Roman" w:hAnsi="Times New Roman" w:cs="Times New Roman"/>
          <w:color w:val="000000"/>
        </w:rPr>
        <w:lastRenderedPageBreak/>
        <w:t>Closing the global living wage gap could generate an additional </w:t>
      </w:r>
      <w:r w:rsidRPr="00081490">
        <w:rPr>
          <w:rFonts w:ascii="Times New Roman" w:eastAsia="Times New Roman" w:hAnsi="Times New Roman" w:cs="Times New Roman"/>
          <w:b/>
          <w:bCs/>
          <w:color w:val="000000"/>
        </w:rPr>
        <w:t>$4.56 trillion</w:t>
      </w:r>
      <w:r w:rsidRPr="00081490">
        <w:rPr>
          <w:rFonts w:ascii="Times New Roman" w:eastAsia="Times New Roman" w:hAnsi="Times New Roman" w:cs="Times New Roman"/>
          <w:color w:val="000000"/>
        </w:rPr>
        <w:t> in annual economic output through increased productivity and spending.</w:t>
      </w:r>
      <w:r>
        <w:rPr>
          <w:rStyle w:val="FootnoteReference"/>
          <w:rFonts w:ascii="Times New Roman" w:eastAsia="Times New Roman" w:hAnsi="Times New Roman" w:cs="Times New Roman"/>
          <w:color w:val="000000"/>
        </w:rPr>
        <w:footnoteReference w:id="2"/>
      </w:r>
      <w:r w:rsidRPr="00081490">
        <w:rPr>
          <w:rFonts w:ascii="Times New Roman" w:eastAsia="Times New Roman" w:hAnsi="Times New Roman" w:cs="Times New Roman"/>
          <w:color w:val="000000"/>
        </w:rPr>
        <w:t xml:space="preserve"> This equates to more than a 4% increase in annual global GDP. Inadequate pay, by contrast, imposes a drag on the overall economy’s intrinsic value, which in turn harms investment portfolios reliant on broad economic growth. Walmart has failed to pay a living wage, contrary to its </w:t>
      </w:r>
      <w:r w:rsidR="007C4C2B">
        <w:rPr>
          <w:rFonts w:ascii="Times New Roman" w:eastAsia="Times New Roman" w:hAnsi="Times New Roman" w:cs="Times New Roman"/>
          <w:color w:val="000000"/>
        </w:rPr>
        <w:t xml:space="preserve">own </w:t>
      </w:r>
      <w:r w:rsidRPr="00081490">
        <w:rPr>
          <w:rFonts w:ascii="Times New Roman" w:eastAsia="Times New Roman" w:hAnsi="Times New Roman" w:cs="Times New Roman"/>
          <w:color w:val="000000"/>
        </w:rPr>
        <w:t>diversified shareholders</w:t>
      </w:r>
      <w:r w:rsidR="007C4C2B">
        <w:rPr>
          <w:rFonts w:ascii="Times New Roman" w:eastAsia="Times New Roman" w:hAnsi="Times New Roman" w:cs="Times New Roman"/>
          <w:color w:val="000000"/>
        </w:rPr>
        <w:t>’ interests</w:t>
      </w:r>
      <w:r w:rsidRPr="00081490">
        <w:rPr>
          <w:rFonts w:ascii="Times New Roman" w:eastAsia="Times New Roman" w:hAnsi="Times New Roman" w:cs="Times New Roman"/>
          <w:color w:val="000000"/>
        </w:rPr>
        <w:t xml:space="preserve">. A vote </w:t>
      </w:r>
      <w:r>
        <w:rPr>
          <w:rFonts w:ascii="Times New Roman" w:eastAsia="Times New Roman" w:hAnsi="Times New Roman" w:cs="Times New Roman"/>
          <w:color w:val="000000"/>
        </w:rPr>
        <w:t>AGAINST</w:t>
      </w:r>
      <w:r w:rsidRPr="00081490">
        <w:rPr>
          <w:rFonts w:ascii="Times New Roman" w:eastAsia="Times New Roman" w:hAnsi="Times New Roman" w:cs="Times New Roman"/>
          <w:color w:val="000000"/>
        </w:rPr>
        <w:t xml:space="preserve"> Chair Gregory Penner </w:t>
      </w:r>
      <w:r w:rsidR="00D37DAC">
        <w:rPr>
          <w:rFonts w:ascii="Times New Roman" w:eastAsia="Times New Roman" w:hAnsi="Times New Roman" w:cs="Times New Roman"/>
          <w:color w:val="000000"/>
        </w:rPr>
        <w:t>is thus warranted</w:t>
      </w:r>
      <w:r w:rsidRPr="00081490">
        <w:rPr>
          <w:rFonts w:ascii="Times New Roman" w:eastAsia="Times New Roman" w:hAnsi="Times New Roman" w:cs="Times New Roman"/>
          <w:color w:val="000000"/>
        </w:rPr>
        <w:t>.</w:t>
      </w:r>
    </w:p>
    <w:p w14:paraId="51CCB7E6" w14:textId="21859A36" w:rsidR="004A1209" w:rsidRPr="00C467E9" w:rsidRDefault="00692B6B" w:rsidP="0079674D">
      <w:pPr>
        <w:rPr>
          <w:bCs/>
          <w:i/>
        </w:rPr>
      </w:pPr>
      <w:r>
        <w:t xml:space="preserve">Investors have been asking Walmart for many years to improve its pay practices. </w:t>
      </w:r>
      <w:r w:rsidR="009A7C0D">
        <w:t xml:space="preserve">TSC filed a shareholder proposal </w:t>
      </w:r>
      <w:r w:rsidR="00D70388">
        <w:t>at Walmart last year asking the Company to pay a living wage</w:t>
      </w:r>
      <w:r w:rsidR="0040169D">
        <w:t xml:space="preserve">, </w:t>
      </w:r>
      <w:r w:rsidR="003E484F" w:rsidRPr="00C467E9">
        <w:t>with the aim of protecting diversified portfolios from negative effects on the economy caused by inadequate wages and expanding income inequality</w:t>
      </w:r>
      <w:r w:rsidR="00DB2C84">
        <w:t>.</w:t>
      </w:r>
      <w:r w:rsidR="003E484F">
        <w:t xml:space="preserve"> </w:t>
      </w:r>
      <w:r w:rsidR="0040169D">
        <w:t>Walmart has so far declined to do</w:t>
      </w:r>
      <w:r w:rsidR="00DB2C84">
        <w:t xml:space="preserve"> so</w:t>
      </w:r>
      <w:r w:rsidR="0040169D">
        <w:t xml:space="preserve">. </w:t>
      </w:r>
      <w:r w:rsidR="00890637">
        <w:t xml:space="preserve">Other shareholders have filed multiple similar proposals </w:t>
      </w:r>
      <w:r w:rsidR="00A74AD5">
        <w:t xml:space="preserve">through the years seeking improved pay for Walmart’s lowest paid workers. </w:t>
      </w:r>
      <w:r w:rsidR="00FD57E3" w:rsidRPr="00C467E9">
        <w:t>Walmart is the largest employer in the United States</w:t>
      </w:r>
      <w:r w:rsidR="00B36A2C" w:rsidRPr="00C467E9">
        <w:t>;</w:t>
      </w:r>
      <w:r w:rsidR="00FD57E3" w:rsidRPr="00C467E9">
        <w:rPr>
          <w:vertAlign w:val="superscript"/>
        </w:rPr>
        <w:footnoteReference w:id="3"/>
      </w:r>
      <w:r w:rsidR="0001171A" w:rsidRPr="00C467E9">
        <w:t xml:space="preserve"> its policies thus have tremendous influence on the </w:t>
      </w:r>
      <w:proofErr w:type="gramStart"/>
      <w:r w:rsidR="0001171A" w:rsidRPr="00C467E9">
        <w:t>market as a whole</w:t>
      </w:r>
      <w:proofErr w:type="gramEnd"/>
      <w:r w:rsidR="0001171A" w:rsidRPr="00C467E9">
        <w:t xml:space="preserve">. </w:t>
      </w:r>
    </w:p>
    <w:p w14:paraId="72D0B5A1" w14:textId="4F6BBDCA" w:rsidR="00DA2697" w:rsidRPr="00C467E9" w:rsidRDefault="0044568A" w:rsidP="00DA2697">
      <w:r w:rsidRPr="00C467E9">
        <w:t>Walmart’s</w:t>
      </w:r>
      <w:r w:rsidR="00D92BB8" w:rsidRPr="00C467E9">
        <w:t xml:space="preserve"> opposition </w:t>
      </w:r>
      <w:r w:rsidR="00E56C89" w:rsidRPr="00C467E9">
        <w:t xml:space="preserve">to </w:t>
      </w:r>
      <w:r w:rsidR="0079674D">
        <w:t>TSC’s</w:t>
      </w:r>
      <w:r w:rsidR="00E56C89" w:rsidRPr="00C467E9">
        <w:t xml:space="preserve"> proposal</w:t>
      </w:r>
      <w:r w:rsidR="0079674D">
        <w:t xml:space="preserve"> last year</w:t>
      </w:r>
      <w:r w:rsidR="00E56C89" w:rsidRPr="00C467E9">
        <w:t xml:space="preserve"> relie</w:t>
      </w:r>
      <w:r w:rsidR="0079674D">
        <w:t>d</w:t>
      </w:r>
      <w:r w:rsidR="00E56C89" w:rsidRPr="00C467E9">
        <w:t xml:space="preserve"> on </w:t>
      </w:r>
      <w:r w:rsidR="00C30B7B" w:rsidRPr="00C467E9">
        <w:t>irrelevant</w:t>
      </w:r>
      <w:r w:rsidR="00E56C89" w:rsidRPr="00C467E9">
        <w:t xml:space="preserve"> arguments that d</w:t>
      </w:r>
      <w:r w:rsidR="0079674D">
        <w:t>id</w:t>
      </w:r>
      <w:r w:rsidR="00E56C89" w:rsidRPr="00C467E9">
        <w:t xml:space="preserve"> not address the </w:t>
      </w:r>
      <w:r w:rsidR="00B15B49" w:rsidRPr="00C467E9">
        <w:t xml:space="preserve">magnitude of the threat posed by </w:t>
      </w:r>
      <w:r w:rsidR="00C30B7B" w:rsidRPr="00C467E9">
        <w:t>poverty wages and expanding income inequality</w:t>
      </w:r>
      <w:r w:rsidR="00DA2697" w:rsidRPr="00C467E9">
        <w:t>:</w:t>
      </w:r>
      <w:r w:rsidR="00D07AFB">
        <w:rPr>
          <w:rStyle w:val="FootnoteReference"/>
        </w:rPr>
        <w:footnoteReference w:id="4"/>
      </w:r>
    </w:p>
    <w:p w14:paraId="5EAF15C7" w14:textId="7303EAE6" w:rsidR="00DA2697" w:rsidRPr="00C467E9" w:rsidRDefault="00CF334F" w:rsidP="00CF32B4">
      <w:pPr>
        <w:pStyle w:val="ListParagraph"/>
        <w:numPr>
          <w:ilvl w:val="0"/>
          <w:numId w:val="4"/>
        </w:numPr>
        <w:contextualSpacing w:val="0"/>
      </w:pPr>
      <w:r w:rsidRPr="00C467E9">
        <w:rPr>
          <w:i/>
          <w:iCs/>
        </w:rPr>
        <w:t>Walmart</w:t>
      </w:r>
      <w:r w:rsidR="004909F8" w:rsidRPr="00C467E9">
        <w:rPr>
          <w:i/>
          <w:iCs/>
        </w:rPr>
        <w:t xml:space="preserve"> </w:t>
      </w:r>
      <w:r w:rsidR="0073734C">
        <w:rPr>
          <w:i/>
          <w:iCs/>
        </w:rPr>
        <w:t>said</w:t>
      </w:r>
      <w:r w:rsidR="004909F8" w:rsidRPr="00C467E9">
        <w:rPr>
          <w:i/>
          <w:iCs/>
        </w:rPr>
        <w:t xml:space="preserve"> </w:t>
      </w:r>
      <w:r w:rsidR="007D05AF" w:rsidRPr="00C467E9">
        <w:rPr>
          <w:i/>
          <w:iCs/>
        </w:rPr>
        <w:t>it “provides strong pay and benefits.”</w:t>
      </w:r>
      <w:r w:rsidR="004909F8" w:rsidRPr="00C467E9">
        <w:t xml:space="preserve"> </w:t>
      </w:r>
      <w:r w:rsidR="009233CC" w:rsidRPr="00C467E9">
        <w:t xml:space="preserve">But </w:t>
      </w:r>
      <w:r w:rsidR="007D05AF" w:rsidRPr="00C467E9">
        <w:t>such a statement relie</w:t>
      </w:r>
      <w:r w:rsidR="0073734C">
        <w:t>d</w:t>
      </w:r>
      <w:r w:rsidR="007D05AF" w:rsidRPr="00C467E9">
        <w:t xml:space="preserve"> on an irrelevant reference point: while its pay and benefits </w:t>
      </w:r>
      <w:r w:rsidR="00AE72E0" w:rsidRPr="00C467E9">
        <w:t>may allow Walmart to optimize recruiting and retention to meet</w:t>
      </w:r>
      <w:r w:rsidR="00235553" w:rsidRPr="00C467E9">
        <w:t xml:space="preserve"> its internal financial goals, it makes no acknowledgement of the fact that </w:t>
      </w:r>
      <w:r w:rsidR="0073734C">
        <w:t>the</w:t>
      </w:r>
      <w:r w:rsidR="00235553" w:rsidRPr="00C467E9">
        <w:t xml:space="preserve"> Proposal addresse</w:t>
      </w:r>
      <w:r w:rsidR="0073734C">
        <w:t>d</w:t>
      </w:r>
      <w:r w:rsidR="00235553" w:rsidRPr="00C467E9">
        <w:t xml:space="preserve"> the portfolio costs its shareholders absorb </w:t>
      </w:r>
      <w:r w:rsidR="008A7FFE" w:rsidRPr="00C467E9">
        <w:t>from Company wages that fall dramatically short of a living wage</w:t>
      </w:r>
      <w:r w:rsidR="00701C1D" w:rsidRPr="00C467E9">
        <w:t>.</w:t>
      </w:r>
    </w:p>
    <w:p w14:paraId="654296F4" w14:textId="51CF144F" w:rsidR="00304CEF" w:rsidRPr="00C467E9" w:rsidRDefault="00343D05" w:rsidP="00CF32B4">
      <w:pPr>
        <w:pStyle w:val="ListParagraph"/>
        <w:numPr>
          <w:ilvl w:val="0"/>
          <w:numId w:val="4"/>
        </w:numPr>
        <w:contextualSpacing w:val="0"/>
      </w:pPr>
      <w:r w:rsidRPr="00C467E9">
        <w:rPr>
          <w:i/>
          <w:iCs/>
        </w:rPr>
        <w:t>Walmart</w:t>
      </w:r>
      <w:r w:rsidR="00304CEF" w:rsidRPr="00C467E9">
        <w:rPr>
          <w:i/>
          <w:iCs/>
        </w:rPr>
        <w:t xml:space="preserve"> </w:t>
      </w:r>
      <w:r w:rsidR="0073734C">
        <w:rPr>
          <w:i/>
          <w:iCs/>
        </w:rPr>
        <w:t>said</w:t>
      </w:r>
      <w:r w:rsidR="00304CEF" w:rsidRPr="00C467E9">
        <w:rPr>
          <w:i/>
          <w:iCs/>
        </w:rPr>
        <w:t xml:space="preserve"> </w:t>
      </w:r>
      <w:r w:rsidR="006E028B" w:rsidRPr="00C467E9">
        <w:rPr>
          <w:i/>
          <w:iCs/>
        </w:rPr>
        <w:t xml:space="preserve">it </w:t>
      </w:r>
      <w:r w:rsidR="00BF6F8E" w:rsidRPr="00C467E9">
        <w:rPr>
          <w:i/>
          <w:iCs/>
        </w:rPr>
        <w:t xml:space="preserve">provides </w:t>
      </w:r>
      <w:r w:rsidRPr="00C467E9">
        <w:rPr>
          <w:i/>
          <w:iCs/>
        </w:rPr>
        <w:t>“opportunities for people” to “gain the skills and experiences they need to meet their life and career</w:t>
      </w:r>
      <w:r w:rsidR="004665C6" w:rsidRPr="00C467E9">
        <w:rPr>
          <w:i/>
          <w:iCs/>
        </w:rPr>
        <w:t xml:space="preserve"> (including pay) goals</w:t>
      </w:r>
      <w:r w:rsidR="00304CEF" w:rsidRPr="00C467E9">
        <w:rPr>
          <w:i/>
          <w:iCs/>
        </w:rPr>
        <w:t>.”</w:t>
      </w:r>
      <w:r w:rsidR="00304CEF" w:rsidRPr="00C467E9">
        <w:t xml:space="preserve"> </w:t>
      </w:r>
      <w:r w:rsidR="00931A96" w:rsidRPr="00C467E9">
        <w:t xml:space="preserve">But </w:t>
      </w:r>
      <w:r w:rsidR="004665C6" w:rsidRPr="00C467E9">
        <w:t xml:space="preserve">while this may be true, it again fails to address </w:t>
      </w:r>
      <w:r w:rsidR="000D7E4C" w:rsidRPr="00C467E9">
        <w:t>the economic damage Walmart creates when it underpays the people to whom it provides “opportunities</w:t>
      </w:r>
      <w:r w:rsidR="0085712A" w:rsidRPr="00C467E9">
        <w:t>.</w:t>
      </w:r>
      <w:r w:rsidR="000D7E4C" w:rsidRPr="00C467E9">
        <w:t>”</w:t>
      </w:r>
    </w:p>
    <w:p w14:paraId="06C6B0E3" w14:textId="5B3C0044" w:rsidR="00986455" w:rsidRDefault="00051CA2" w:rsidP="079B7EB5">
      <w:pPr>
        <w:pStyle w:val="ListParagraph"/>
        <w:numPr>
          <w:ilvl w:val="0"/>
          <w:numId w:val="4"/>
        </w:numPr>
      </w:pPr>
      <w:r w:rsidRPr="079B7EB5">
        <w:rPr>
          <w:i/>
          <w:iCs/>
        </w:rPr>
        <w:t>Walmart</w:t>
      </w:r>
      <w:r w:rsidR="4D3F5884" w:rsidRPr="079B7EB5">
        <w:rPr>
          <w:i/>
          <w:iCs/>
        </w:rPr>
        <w:t xml:space="preserve"> </w:t>
      </w:r>
      <w:r w:rsidR="00581C42" w:rsidRPr="079B7EB5">
        <w:rPr>
          <w:i/>
          <w:iCs/>
        </w:rPr>
        <w:t>said</w:t>
      </w:r>
      <w:r w:rsidR="4D3F5884" w:rsidRPr="079B7EB5">
        <w:rPr>
          <w:i/>
          <w:iCs/>
        </w:rPr>
        <w:t xml:space="preserve"> </w:t>
      </w:r>
      <w:r w:rsidRPr="079B7EB5">
        <w:rPr>
          <w:i/>
          <w:iCs/>
        </w:rPr>
        <w:t>it already operates “in a way that creates substantial value for customers, associates, suppliers, communities, and other constituencies</w:t>
      </w:r>
      <w:r w:rsidR="4D3F5884" w:rsidRPr="079B7EB5">
        <w:rPr>
          <w:i/>
          <w:iCs/>
        </w:rPr>
        <w:t>.”</w:t>
      </w:r>
      <w:r w:rsidR="4D3F5884">
        <w:t xml:space="preserve"> </w:t>
      </w:r>
      <w:r w:rsidR="008D4A7F">
        <w:t>But</w:t>
      </w:r>
      <w:r w:rsidR="00CA07AB">
        <w:t xml:space="preserve"> Walmart’s</w:t>
      </w:r>
      <w:r w:rsidR="4D3F5884">
        <w:t xml:space="preserve"> </w:t>
      </w:r>
      <w:r w:rsidR="00F80702">
        <w:t>argu</w:t>
      </w:r>
      <w:r w:rsidR="00D1528C">
        <w:t>m</w:t>
      </w:r>
      <w:r w:rsidR="00F80702">
        <w:t xml:space="preserve">ent </w:t>
      </w:r>
      <w:r w:rsidR="00B017DB">
        <w:t>did</w:t>
      </w:r>
      <w:r w:rsidR="00F80702">
        <w:t xml:space="preserve"> not account for the impact of </w:t>
      </w:r>
      <w:r w:rsidR="00CA07AB">
        <w:t>its</w:t>
      </w:r>
      <w:r w:rsidR="00F80702">
        <w:t xml:space="preserve"> </w:t>
      </w:r>
      <w:r w:rsidR="4D600876">
        <w:t xml:space="preserve">low </w:t>
      </w:r>
      <w:r w:rsidR="00CA07AB">
        <w:t>wages</w:t>
      </w:r>
      <w:r w:rsidR="00F80702">
        <w:t xml:space="preserve"> </w:t>
      </w:r>
      <w:r w:rsidR="003A08D9">
        <w:t>on the diversified portfolios o</w:t>
      </w:r>
      <w:r w:rsidR="009D2A87">
        <w:t>f most</w:t>
      </w:r>
      <w:r w:rsidR="4D3F5884">
        <w:t xml:space="preserve"> </w:t>
      </w:r>
      <w:r w:rsidR="19660700">
        <w:t xml:space="preserve">investors such as Texas teachers, Detroit fire fighters, </w:t>
      </w:r>
      <w:r w:rsidR="4E788051">
        <w:t xml:space="preserve">and other working people who count on their </w:t>
      </w:r>
      <w:r w:rsidR="00361D1F">
        <w:t>savin</w:t>
      </w:r>
      <w:r w:rsidR="000843DE">
        <w:t>g</w:t>
      </w:r>
      <w:r w:rsidR="00E112B2">
        <w:t>s</w:t>
      </w:r>
      <w:r w:rsidR="00361D1F">
        <w:t xml:space="preserve"> and pensions for a dignified retirement</w:t>
      </w:r>
      <w:r w:rsidR="1834F090">
        <w:t xml:space="preserve">. For them, the single greatest determinant of portfolio value is broad economic health, and </w:t>
      </w:r>
      <w:r w:rsidR="006C4FBB">
        <w:t>the living wage gap may be costing the economy $4.56 trillion every year</w:t>
      </w:r>
      <w:r w:rsidR="4D448E06">
        <w:t>.</w:t>
      </w:r>
    </w:p>
    <w:p w14:paraId="65E4183D" w14:textId="4751C4F5" w:rsidR="002C7826" w:rsidRPr="00C467E9" w:rsidRDefault="002C7826" w:rsidP="002C7826">
      <w:r>
        <w:t xml:space="preserve">Given Walmart’s history of failure to address its contribution to economic damage </w:t>
      </w:r>
      <w:r w:rsidR="00EC7994">
        <w:t>arising from an underpaid labor force, a vote AGAINST its board chair is in investors’ best interest.</w:t>
      </w:r>
    </w:p>
    <w:p w14:paraId="35B7CD85" w14:textId="57238E56" w:rsidR="004A1209" w:rsidRPr="00C467E9" w:rsidRDefault="00AF1527" w:rsidP="004A1209">
      <w:pPr>
        <w:pStyle w:val="Heading1"/>
      </w:pPr>
      <w:r w:rsidRPr="00C467E9">
        <w:lastRenderedPageBreak/>
        <w:t xml:space="preserve">Underpaying Workers Threatens </w:t>
      </w:r>
      <w:r w:rsidR="004A1209" w:rsidRPr="00C467E9">
        <w:t>Economic Prosperity and Diversified Portfolios</w:t>
      </w:r>
    </w:p>
    <w:p w14:paraId="6217EE71" w14:textId="27E3255E" w:rsidR="003F0D94" w:rsidRPr="00C467E9" w:rsidRDefault="08557F5A" w:rsidP="003F0D94">
      <w:r>
        <w:t>Low</w:t>
      </w:r>
      <w:r w:rsidR="003F0D94">
        <w:t xml:space="preserve"> wages and </w:t>
      </w:r>
      <w:r w:rsidR="0062741A">
        <w:t xml:space="preserve">income </w:t>
      </w:r>
      <w:r w:rsidR="003F0D94">
        <w:t>inequality threaten the global economy with losses that will burden investment portfolios over the next 30 years and beyond</w:t>
      </w:r>
      <w:r w:rsidR="0062741A">
        <w:t xml:space="preserve">, as we explain further in </w:t>
      </w:r>
      <w:r w:rsidR="00FD6251">
        <w:t>Section C</w:t>
      </w:r>
      <w:r w:rsidR="003F0D94">
        <w:t>. Conversely, higher wages lead to increased productivity and consumption in a virtuous macroeconomic cycle that benefits investment portfolios.</w:t>
      </w:r>
    </w:p>
    <w:p w14:paraId="1E8B68C9" w14:textId="3A16A616" w:rsidR="003F0D94" w:rsidRPr="00C467E9" w:rsidRDefault="00A20FD2" w:rsidP="003F0D94">
      <w:r w:rsidRPr="00C467E9">
        <w:t>Diversified investors</w:t>
      </w:r>
      <w:r w:rsidR="00866F24" w:rsidRPr="00C467E9">
        <w:t>—</w:t>
      </w:r>
      <w:r w:rsidR="00AE33DE" w:rsidRPr="00C467E9">
        <w:t>including</w:t>
      </w:r>
      <w:r w:rsidR="00866F24" w:rsidRPr="00C467E9">
        <w:t xml:space="preserve"> </w:t>
      </w:r>
      <w:r w:rsidR="00AE33DE" w:rsidRPr="00C467E9">
        <w:t>p</w:t>
      </w:r>
      <w:r w:rsidR="003F0D94" w:rsidRPr="00C467E9">
        <w:t xml:space="preserve">ension funds, foundations, </w:t>
      </w:r>
      <w:r w:rsidR="007250F6" w:rsidRPr="00C467E9">
        <w:t xml:space="preserve">and </w:t>
      </w:r>
      <w:r w:rsidR="003F0D94" w:rsidRPr="00C467E9">
        <w:t>endowments</w:t>
      </w:r>
      <w:r w:rsidR="00866F24" w:rsidRPr="00C467E9">
        <w:t>—</w:t>
      </w:r>
      <w:r w:rsidR="003F0D94" w:rsidRPr="00C467E9">
        <w:t>and</w:t>
      </w:r>
      <w:r w:rsidR="00866F24" w:rsidRPr="00C467E9">
        <w:t xml:space="preserve"> </w:t>
      </w:r>
      <w:r w:rsidR="003F0D94" w:rsidRPr="00C467E9">
        <w:t xml:space="preserve">other institutions working on behalf of </w:t>
      </w:r>
      <w:r w:rsidR="007250F6" w:rsidRPr="00C467E9">
        <w:t xml:space="preserve">these </w:t>
      </w:r>
      <w:r w:rsidR="00FF0789" w:rsidRPr="00C467E9">
        <w:t>investors</w:t>
      </w:r>
      <w:r w:rsidR="007250F6" w:rsidRPr="00C467E9">
        <w:t xml:space="preserve"> and other </w:t>
      </w:r>
      <w:r w:rsidR="003F0D94" w:rsidRPr="00C467E9">
        <w:t xml:space="preserve">beneficiaries with </w:t>
      </w:r>
      <w:r w:rsidR="000B0705" w:rsidRPr="00C467E9">
        <w:t>diversified portfolios</w:t>
      </w:r>
      <w:r w:rsidR="00FF0789" w:rsidRPr="00C467E9">
        <w:t xml:space="preserve"> </w:t>
      </w:r>
      <w:r w:rsidR="005B3C0C" w:rsidRPr="00C467E9">
        <w:t>must</w:t>
      </w:r>
      <w:r w:rsidR="00B770F2" w:rsidRPr="00C467E9">
        <w:t xml:space="preserve"> work to </w:t>
      </w:r>
      <w:r w:rsidR="003F0D94" w:rsidRPr="00C467E9">
        <w:t xml:space="preserve">bring an end to </w:t>
      </w:r>
      <w:r w:rsidR="00A54287" w:rsidRPr="00C467E9">
        <w:t xml:space="preserve">employment practices </w:t>
      </w:r>
      <w:r w:rsidR="00DB63E1" w:rsidRPr="00C467E9">
        <w:t>at</w:t>
      </w:r>
      <w:r w:rsidR="00A54287" w:rsidRPr="00C467E9">
        <w:t xml:space="preserve"> Walmart </w:t>
      </w:r>
      <w:r w:rsidR="003F0D94" w:rsidRPr="00C467E9">
        <w:t>that threaten the economy upon which their portfolios depend.</w:t>
      </w:r>
    </w:p>
    <w:p w14:paraId="653FA163" w14:textId="501D59DE" w:rsidR="003F0D94" w:rsidRPr="00C467E9" w:rsidRDefault="00FA01A3" w:rsidP="003F0D94">
      <w:r>
        <w:t xml:space="preserve">In </w:t>
      </w:r>
      <w:r w:rsidR="00406E51">
        <w:t>the following sections</w:t>
      </w:r>
      <w:r>
        <w:t>, we</w:t>
      </w:r>
      <w:r w:rsidR="003F0D94">
        <w:t xml:space="preserve"> describe the research establishing the relationship between </w:t>
      </w:r>
      <w:r w:rsidR="16D0228F">
        <w:t xml:space="preserve">low </w:t>
      </w:r>
      <w:r w:rsidR="003F0D94">
        <w:t xml:space="preserve">wages and </w:t>
      </w:r>
      <w:r w:rsidR="005002FA">
        <w:t xml:space="preserve">income </w:t>
      </w:r>
      <w:r w:rsidR="003F0D94">
        <w:t>inequality</w:t>
      </w:r>
      <w:r w:rsidR="00F82931">
        <w:t xml:space="preserve"> on the one hand</w:t>
      </w:r>
      <w:r w:rsidR="003F0D94">
        <w:t xml:space="preserve"> and long-term returns of diversified portfolios</w:t>
      </w:r>
      <w:r w:rsidR="00CF2021">
        <w:t xml:space="preserve"> on the </w:t>
      </w:r>
      <w:proofErr w:type="gramStart"/>
      <w:r w:rsidR="00CF2021">
        <w:t>other</w:t>
      </w:r>
      <w:r w:rsidR="00AF1C34">
        <w:t>,</w:t>
      </w:r>
      <w:r w:rsidR="003F0D94">
        <w:t xml:space="preserve"> and</w:t>
      </w:r>
      <w:proofErr w:type="gramEnd"/>
      <w:r w:rsidR="003F0D94">
        <w:t xml:space="preserve"> show why shareholders can and must steward </w:t>
      </w:r>
      <w:r w:rsidR="008769ED">
        <w:t>Walmart</w:t>
      </w:r>
      <w:r w:rsidR="003F0D94">
        <w:t xml:space="preserve"> </w:t>
      </w:r>
      <w:r w:rsidR="000658E6">
        <w:t xml:space="preserve">away from </w:t>
      </w:r>
      <w:r w:rsidR="008553A3">
        <w:t xml:space="preserve">pay </w:t>
      </w:r>
      <w:r w:rsidR="000658E6">
        <w:t xml:space="preserve">practices </w:t>
      </w:r>
      <w:r w:rsidR="003F0D94">
        <w:t>that threaten the economy</w:t>
      </w:r>
      <w:r w:rsidR="003E0677">
        <w:t xml:space="preserve">. This system-wide perspective </w:t>
      </w:r>
      <w:r w:rsidR="00076BC5">
        <w:t xml:space="preserve">is necessary to protect </w:t>
      </w:r>
      <w:r w:rsidR="008553A3">
        <w:t>shareholders</w:t>
      </w:r>
      <w:r w:rsidR="00E5130D">
        <w:t>, who</w:t>
      </w:r>
      <w:r w:rsidR="00B024EB">
        <w:t>se</w:t>
      </w:r>
      <w:r w:rsidR="00EE335B">
        <w:t xml:space="preserve"> </w:t>
      </w:r>
      <w:r w:rsidR="00E5130D">
        <w:t xml:space="preserve">diversified portfolios are threatened by company decisions that do not account </w:t>
      </w:r>
      <w:r w:rsidR="000435CE">
        <w:t>for systemic effects</w:t>
      </w:r>
      <w:r w:rsidR="00B024EB">
        <w:t>.</w:t>
      </w:r>
    </w:p>
    <w:p w14:paraId="3D250D9C" w14:textId="5A22C46E" w:rsidR="00163CC3" w:rsidRPr="00C467E9" w:rsidRDefault="002067E6" w:rsidP="003F0D94">
      <w:r>
        <w:t xml:space="preserve">Addressing these systemic concerns </w:t>
      </w:r>
      <w:r w:rsidR="466F14B7">
        <w:t>means moving</w:t>
      </w:r>
      <w:r>
        <w:t xml:space="preserve"> </w:t>
      </w:r>
      <w:r w:rsidR="003F0D94">
        <w:t xml:space="preserve">beyond </w:t>
      </w:r>
      <w:r>
        <w:t xml:space="preserve">the </w:t>
      </w:r>
      <w:r w:rsidR="003F0D94">
        <w:t>measure</w:t>
      </w:r>
      <w:r>
        <w:t>ment of</w:t>
      </w:r>
      <w:r w:rsidR="003F0D94">
        <w:t xml:space="preserve"> investment success </w:t>
      </w:r>
      <w:r>
        <w:t xml:space="preserve">solely </w:t>
      </w:r>
      <w:r w:rsidR="003F0D94">
        <w:t xml:space="preserve">at the company </w:t>
      </w:r>
      <w:proofErr w:type="gramStart"/>
      <w:r w:rsidR="003F0D94">
        <w:t>level, and</w:t>
      </w:r>
      <w:proofErr w:type="gramEnd"/>
      <w:r w:rsidR="003F0D94">
        <w:t xml:space="preserve"> recogniz</w:t>
      </w:r>
      <w:r>
        <w:t>ing</w:t>
      </w:r>
      <w:r w:rsidR="003F0D94">
        <w:t xml:space="preserve"> that portfolio returns </w:t>
      </w:r>
      <w:r w:rsidR="00862896">
        <w:t>are based not only on the profits that companies deliver, but also on the economic impact they create</w:t>
      </w:r>
      <w:r w:rsidR="003F0D94">
        <w:t xml:space="preserve">. </w:t>
      </w:r>
    </w:p>
    <w:p w14:paraId="72A471A4" w14:textId="5EA93619" w:rsidR="008F6018" w:rsidRPr="00C467E9" w:rsidRDefault="00DE1091" w:rsidP="008F6018">
      <w:pPr>
        <w:pStyle w:val="Heading1"/>
      </w:pPr>
      <w:r w:rsidRPr="00C467E9">
        <w:t xml:space="preserve">Walmart’s </w:t>
      </w:r>
      <w:r w:rsidR="00E56940" w:rsidRPr="00C467E9">
        <w:t>wages are</w:t>
      </w:r>
      <w:r w:rsidR="00C525A0" w:rsidRPr="00C467E9">
        <w:t xml:space="preserve"> insufficient to mitigate </w:t>
      </w:r>
      <w:r w:rsidR="00E56940" w:rsidRPr="00C467E9">
        <w:t>economic</w:t>
      </w:r>
      <w:r w:rsidR="00C525A0" w:rsidRPr="00C467E9">
        <w:t xml:space="preserve"> </w:t>
      </w:r>
      <w:r w:rsidR="00EC457B" w:rsidRPr="00C467E9">
        <w:t>damage</w:t>
      </w:r>
      <w:r w:rsidR="00C525A0" w:rsidRPr="00C467E9">
        <w:t xml:space="preserve"> and</w:t>
      </w:r>
      <w:r w:rsidR="008F6018" w:rsidRPr="00C467E9">
        <w:t xml:space="preserve"> do not account for </w:t>
      </w:r>
      <w:r w:rsidR="00632730" w:rsidRPr="00C467E9">
        <w:t xml:space="preserve">portfolio </w:t>
      </w:r>
      <w:r w:rsidR="008F6018" w:rsidRPr="00C467E9">
        <w:t>impact</w:t>
      </w:r>
    </w:p>
    <w:p w14:paraId="79C44A89" w14:textId="54E87CB3" w:rsidR="001176F4" w:rsidRPr="00C467E9" w:rsidRDefault="00234004" w:rsidP="001176F4">
      <w:pPr>
        <w:rPr>
          <w:lang w:bidi="ar-SA"/>
        </w:rPr>
      </w:pPr>
      <w:r w:rsidRPr="00C467E9">
        <w:rPr>
          <w:lang w:bidi="ar-SA"/>
        </w:rPr>
        <w:t>Walmart’s wage</w:t>
      </w:r>
      <w:r w:rsidR="27AE5414" w:rsidRPr="00C467E9">
        <w:rPr>
          <w:lang w:bidi="ar-SA"/>
        </w:rPr>
        <w:t xml:space="preserve"> policies</w:t>
      </w:r>
      <w:r w:rsidR="00504F27" w:rsidRPr="00C467E9">
        <w:rPr>
          <w:lang w:bidi="ar-SA"/>
        </w:rPr>
        <w:t xml:space="preserve"> </w:t>
      </w:r>
      <w:r w:rsidR="5685B7C7" w:rsidRPr="00C467E9">
        <w:rPr>
          <w:lang w:bidi="ar-SA"/>
        </w:rPr>
        <w:t xml:space="preserve">are not </w:t>
      </w:r>
      <w:r w:rsidR="173A7A34" w:rsidRPr="00C467E9">
        <w:rPr>
          <w:lang w:bidi="ar-SA"/>
        </w:rPr>
        <w:t xml:space="preserve">sufficient to mitigate the risk its </w:t>
      </w:r>
      <w:r w:rsidR="001176F4" w:rsidRPr="00C467E9">
        <w:rPr>
          <w:lang w:bidi="ar-SA"/>
        </w:rPr>
        <w:t>diversified</w:t>
      </w:r>
      <w:r w:rsidR="173A7A34" w:rsidRPr="00C467E9">
        <w:rPr>
          <w:lang w:bidi="ar-SA"/>
        </w:rPr>
        <w:t xml:space="preserve"> shareholders face to their portfolios from </w:t>
      </w:r>
      <w:r w:rsidR="009F1E80" w:rsidRPr="00C467E9">
        <w:rPr>
          <w:lang w:bidi="ar-SA"/>
        </w:rPr>
        <w:t>the economic damage that arises from an impoverished workforce and expanding income inequality</w:t>
      </w:r>
      <w:r w:rsidR="01067679" w:rsidRPr="00C467E9">
        <w:rPr>
          <w:lang w:bidi="ar-SA"/>
        </w:rPr>
        <w:t>.</w:t>
      </w:r>
    </w:p>
    <w:p w14:paraId="5A4E8EAB" w14:textId="77777777" w:rsidR="00CF51B1" w:rsidRPr="005A5E7A" w:rsidRDefault="00CF51B1" w:rsidP="00CF51B1">
      <w:r w:rsidRPr="005A5E7A">
        <w:t>The living wage model reflects “the minimum employment earnings necessary to meet a family’s basic needs while also maintaining self-sufficiency.”</w:t>
      </w:r>
      <w:r w:rsidRPr="005A5E7A">
        <w:rPr>
          <w:rStyle w:val="FootnoteReference"/>
        </w:rPr>
        <w:footnoteReference w:id="5"/>
      </w:r>
      <w:r w:rsidRPr="005A5E7A">
        <w:t xml:space="preserve"> </w:t>
      </w:r>
      <w:r>
        <w:t>The living wage</w:t>
      </w:r>
      <w:r w:rsidRPr="005A5E7A">
        <w:t xml:space="preserve"> is abstemious, making no allowances for savings, consumption of even modest prepared foods, or home purchases, among other things. As the MIT Living Wage Calculator explains:</w:t>
      </w:r>
    </w:p>
    <w:p w14:paraId="12C40F5D" w14:textId="77777777" w:rsidR="00CF51B1" w:rsidRPr="005A5E7A" w:rsidRDefault="00CF51B1" w:rsidP="00CF51B1">
      <w:pPr>
        <w:pStyle w:val="Quote"/>
      </w:pPr>
      <w:r w:rsidRPr="005A5E7A">
        <w:t xml:space="preserve">The living wage is the minimum income standard that, if met, draws a very fine line between the financial independence of the working poor and the need to seek out public assistance or suffer consistent and severe housing and food insecurity. </w:t>
      </w:r>
      <w:proofErr w:type="gramStart"/>
      <w:r w:rsidRPr="005A5E7A">
        <w:t>In light of</w:t>
      </w:r>
      <w:proofErr w:type="gramEnd"/>
      <w:r w:rsidRPr="005A5E7A">
        <w:t xml:space="preserve"> this fact, </w:t>
      </w:r>
      <w:r w:rsidRPr="005A5E7A">
        <w:rPr>
          <w:b/>
          <w:bCs/>
        </w:rPr>
        <w:t>the living wage is perhaps better defined as a minimum subsistence wage for persons living in the United States</w:t>
      </w:r>
      <w:r w:rsidRPr="005A5E7A">
        <w:t>.</w:t>
      </w:r>
      <w:r w:rsidRPr="005A5E7A">
        <w:rPr>
          <w:rStyle w:val="FootnoteReference"/>
        </w:rPr>
        <w:footnoteReference w:id="6"/>
      </w:r>
    </w:p>
    <w:p w14:paraId="6F1DDA7D" w14:textId="77777777" w:rsidR="00C549D6" w:rsidRDefault="00C549D6" w:rsidP="00C549D6">
      <w:r>
        <w:lastRenderedPageBreak/>
        <w:t>Meanwhile, t</w:t>
      </w:r>
      <w:r w:rsidRPr="003A5653">
        <w:t>he minimum wage is the lowest legal pay rate companies can offer their employees. Many people believe this is the same as</w:t>
      </w:r>
      <w:r>
        <w:t xml:space="preserve"> a</w:t>
      </w:r>
      <w:r w:rsidRPr="003A5653">
        <w:t xml:space="preserve"> living wage, but that is not the case. Indeed, in some regions, the chasm between the two is substantial. </w:t>
      </w:r>
      <w:r>
        <w:t>T</w:t>
      </w:r>
      <w:r w:rsidRPr="003A5653">
        <w:t xml:space="preserve">he U.S. federal minimum wage </w:t>
      </w:r>
      <w:r>
        <w:t>stood</w:t>
      </w:r>
      <w:r w:rsidRPr="003A5653">
        <w:t xml:space="preserve"> at </w:t>
      </w:r>
      <w:r>
        <w:t>$</w:t>
      </w:r>
      <w:r w:rsidRPr="003A5653">
        <w:t>7.25</w:t>
      </w:r>
      <w:r>
        <w:t xml:space="preserve"> per hour</w:t>
      </w:r>
      <w:r w:rsidRPr="003A5653">
        <w:t xml:space="preserve"> in 202</w:t>
      </w:r>
      <w:r>
        <w:t>4</w:t>
      </w:r>
      <w:r w:rsidRPr="003A5653">
        <w:t xml:space="preserve">, whereas the </w:t>
      </w:r>
      <w:r>
        <w:t>current</w:t>
      </w:r>
      <w:r w:rsidRPr="344707FC">
        <w:t xml:space="preserve"> </w:t>
      </w:r>
      <w:r>
        <w:t xml:space="preserve">average </w:t>
      </w:r>
      <w:r w:rsidRPr="344707FC">
        <w:t xml:space="preserve">living wage in </w:t>
      </w:r>
      <w:r>
        <w:t>the United States</w:t>
      </w:r>
      <w:r w:rsidRPr="344707FC">
        <w:t xml:space="preserve"> </w:t>
      </w:r>
      <w:r>
        <w:t xml:space="preserve">is around </w:t>
      </w:r>
      <w:r w:rsidRPr="00891758">
        <w:t>$23 per hour</w:t>
      </w:r>
      <w:r>
        <w:t xml:space="preserve"> </w:t>
      </w:r>
      <w:r w:rsidRPr="344707FC">
        <w:t>for a family of four</w:t>
      </w:r>
      <w:r>
        <w:t xml:space="preserve"> with both adults working.</w:t>
      </w:r>
      <w:r>
        <w:rPr>
          <w:rStyle w:val="FootnoteReference"/>
        </w:rPr>
        <w:footnoteReference w:id="7"/>
      </w:r>
      <w:r>
        <w:t xml:space="preserve"> While some states have higher minimums, the highest—Washington, DC’s $17 per hour—still falls well short of a living wage.</w:t>
      </w:r>
    </w:p>
    <w:p w14:paraId="6B2BD361" w14:textId="77777777" w:rsidR="001504CD" w:rsidRPr="00C467E9" w:rsidRDefault="001504CD" w:rsidP="00C8418F">
      <w:pPr>
        <w:pStyle w:val="Heading2"/>
        <w:numPr>
          <w:ilvl w:val="0"/>
          <w:numId w:val="6"/>
        </w:numPr>
      </w:pPr>
      <w:r w:rsidRPr="00C8418F">
        <w:t>Walmart’s cost externalization resulting from its failure to pay a living wage</w:t>
      </w:r>
    </w:p>
    <w:p w14:paraId="74D870EC" w14:textId="2CD7D6B6" w:rsidR="001504CD" w:rsidRPr="00C467E9" w:rsidRDefault="001504CD" w:rsidP="001504CD">
      <w:r w:rsidRPr="00C467E9">
        <w:t xml:space="preserve">Walmart </w:t>
      </w:r>
      <w:r w:rsidR="00F36B43">
        <w:t>says</w:t>
      </w:r>
      <w:r w:rsidRPr="00C467E9">
        <w:t xml:space="preserve"> </w:t>
      </w:r>
      <w:r w:rsidR="00006B98">
        <w:t>the “</w:t>
      </w:r>
      <w:r w:rsidR="00006B98" w:rsidRPr="00006B98">
        <w:rPr>
          <w:b/>
          <w:bCs/>
          <w:u w:val="single"/>
        </w:rPr>
        <w:t>average</w:t>
      </w:r>
      <w:r w:rsidR="00006B98" w:rsidRPr="00006B98">
        <w:t xml:space="preserve"> hourly wage for </w:t>
      </w:r>
      <w:r w:rsidR="00006B98">
        <w:t>[its]</w:t>
      </w:r>
      <w:r w:rsidR="00006B98" w:rsidRPr="00006B98">
        <w:t xml:space="preserve"> U.S. frontline associates is close to $18</w:t>
      </w:r>
      <w:r w:rsidR="008A0F72">
        <w:t>.</w:t>
      </w:r>
      <w:r w:rsidRPr="00C467E9">
        <w:t>”</w:t>
      </w:r>
      <w:r w:rsidR="008A0F72">
        <w:rPr>
          <w:rStyle w:val="FootnoteReference"/>
        </w:rPr>
        <w:footnoteReference w:id="8"/>
      </w:r>
      <w:r w:rsidR="00E1760A" w:rsidRPr="00C467E9">
        <w:t xml:space="preserve"> </w:t>
      </w:r>
      <w:r w:rsidR="004315C3" w:rsidRPr="00C467E9">
        <w:t xml:space="preserve">The Company </w:t>
      </w:r>
      <w:r w:rsidR="00800707" w:rsidRPr="00C467E9">
        <w:t xml:space="preserve">recently reduced its lowest-paid workers’ hourly wage </w:t>
      </w:r>
      <w:r w:rsidR="009E510B" w:rsidRPr="00C467E9">
        <w:t>to</w:t>
      </w:r>
      <w:r w:rsidR="00800707" w:rsidRPr="00C467E9">
        <w:t xml:space="preserve"> $1</w:t>
      </w:r>
      <w:r w:rsidR="00B91356" w:rsidRPr="00C467E9">
        <w:t>3.</w:t>
      </w:r>
      <w:r w:rsidR="00B91356" w:rsidRPr="00C467E9">
        <w:rPr>
          <w:rStyle w:val="FootnoteReference"/>
        </w:rPr>
        <w:footnoteReference w:id="9"/>
      </w:r>
      <w:r w:rsidR="00800707" w:rsidRPr="00C467E9">
        <w:t xml:space="preserve"> </w:t>
      </w:r>
      <w:r w:rsidR="002A5EE8" w:rsidRPr="00C467E9">
        <w:t xml:space="preserve">With an </w:t>
      </w:r>
      <w:r w:rsidR="002A5EE8" w:rsidRPr="00C467E9">
        <w:rPr>
          <w:b/>
          <w:bCs/>
          <w:u w:val="single"/>
        </w:rPr>
        <w:t>average</w:t>
      </w:r>
      <w:r w:rsidR="002A5EE8" w:rsidRPr="00C467E9">
        <w:t xml:space="preserve"> hourly wage that falls well short of a living wage,</w:t>
      </w:r>
      <w:r w:rsidRPr="00C467E9">
        <w:t xml:space="preserve"> </w:t>
      </w:r>
      <w:r w:rsidR="00FA7F00" w:rsidRPr="00C467E9">
        <w:t xml:space="preserve">and </w:t>
      </w:r>
      <w:r w:rsidR="003015C4" w:rsidRPr="00C467E9">
        <w:t xml:space="preserve">a starting hourly wage </w:t>
      </w:r>
      <w:r w:rsidR="003015C4" w:rsidRPr="00C467E9">
        <w:rPr>
          <w:b/>
          <w:bCs/>
          <w:u w:val="single"/>
        </w:rPr>
        <w:t>$1</w:t>
      </w:r>
      <w:r w:rsidR="00464448">
        <w:rPr>
          <w:b/>
          <w:bCs/>
          <w:u w:val="single"/>
        </w:rPr>
        <w:t>0</w:t>
      </w:r>
      <w:r w:rsidR="003015C4" w:rsidRPr="00C467E9">
        <w:rPr>
          <w:b/>
          <w:bCs/>
          <w:u w:val="single"/>
        </w:rPr>
        <w:t xml:space="preserve"> less than </w:t>
      </w:r>
      <w:r w:rsidR="00464448">
        <w:rPr>
          <w:b/>
          <w:bCs/>
          <w:u w:val="single"/>
        </w:rPr>
        <w:t>the average</w:t>
      </w:r>
      <w:r w:rsidR="003015C4" w:rsidRPr="00C467E9">
        <w:rPr>
          <w:b/>
          <w:bCs/>
          <w:u w:val="single"/>
        </w:rPr>
        <w:t xml:space="preserve"> living wage</w:t>
      </w:r>
      <w:r w:rsidR="003015C4" w:rsidRPr="00C467E9">
        <w:t xml:space="preserve">, </w:t>
      </w:r>
      <w:r w:rsidRPr="00C467E9">
        <w:t>Walmart</w:t>
      </w:r>
      <w:r w:rsidR="002A5EE8" w:rsidRPr="00C467E9">
        <w:t xml:space="preserve"> clearly</w:t>
      </w:r>
      <w:r w:rsidRPr="00C467E9">
        <w:t xml:space="preserve"> </w:t>
      </w:r>
      <w:r w:rsidR="002A5EE8" w:rsidRPr="00C467E9">
        <w:t>under</w:t>
      </w:r>
      <w:r w:rsidRPr="00C467E9">
        <w:t>pays many of its workers</w:t>
      </w:r>
      <w:r w:rsidR="007342F1" w:rsidRPr="00C467E9">
        <w:t>, especially those at starting wages in the l</w:t>
      </w:r>
      <w:r w:rsidR="000C5EB4" w:rsidRPr="00C467E9">
        <w:t>owest-paid jobs</w:t>
      </w:r>
      <w:r w:rsidRPr="00C467E9">
        <w:t xml:space="preserve">. </w:t>
      </w:r>
    </w:p>
    <w:p w14:paraId="5AC737D7" w14:textId="49E7CC21" w:rsidR="00347FC4" w:rsidRPr="00C467E9" w:rsidRDefault="00347FC4" w:rsidP="00347FC4">
      <w:r w:rsidRPr="00C467E9">
        <w:t>Walmart’s stores are often located in areas where the cost of living may be lower than national averages. Noting that, we provide in the following table the</w:t>
      </w:r>
      <w:r w:rsidR="003B607B" w:rsidRPr="00C467E9">
        <w:t xml:space="preserve"> current</w:t>
      </w:r>
      <w:r w:rsidRPr="00C467E9">
        <w:t xml:space="preserve"> living wage for selected Walmart store locations:</w:t>
      </w:r>
      <w:r w:rsidRPr="00C467E9">
        <w:rPr>
          <w:rStyle w:val="FootnoteReference"/>
        </w:rPr>
        <w:footnoteReference w:id="10"/>
      </w:r>
    </w:p>
    <w:tbl>
      <w:tblPr>
        <w:tblStyle w:val="PlainTable1"/>
        <w:tblW w:w="5000" w:type="pct"/>
        <w:tblLook w:val="04A0" w:firstRow="1" w:lastRow="0" w:firstColumn="1" w:lastColumn="0" w:noHBand="0" w:noVBand="1"/>
      </w:tblPr>
      <w:tblGrid>
        <w:gridCol w:w="1975"/>
        <w:gridCol w:w="3119"/>
        <w:gridCol w:w="4256"/>
      </w:tblGrid>
      <w:tr w:rsidR="00B7456D" w:rsidRPr="003652D8" w14:paraId="58960E1F" w14:textId="77777777" w:rsidTr="00DC3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hideMark/>
          </w:tcPr>
          <w:p w14:paraId="75DAC04A" w14:textId="77777777" w:rsidR="00B7456D" w:rsidRPr="00081490" w:rsidRDefault="00B7456D" w:rsidP="00DC3EE2">
            <w:pPr>
              <w:jc w:val="center"/>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Store Location</w:t>
            </w:r>
          </w:p>
        </w:tc>
        <w:tc>
          <w:tcPr>
            <w:tcW w:w="1668" w:type="pct"/>
            <w:hideMark/>
          </w:tcPr>
          <w:p w14:paraId="640FC33A" w14:textId="77777777" w:rsidR="00B7456D" w:rsidRPr="00081490" w:rsidRDefault="00B7456D" w:rsidP="00B745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Living wage: 1 adult, 0 children</w:t>
            </w:r>
          </w:p>
        </w:tc>
        <w:tc>
          <w:tcPr>
            <w:tcW w:w="2276" w:type="pct"/>
            <w:hideMark/>
          </w:tcPr>
          <w:p w14:paraId="4BC17AEF" w14:textId="77777777" w:rsidR="00B7456D" w:rsidRPr="00081490" w:rsidRDefault="00B7456D" w:rsidP="00B745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Living wage: 2 working adults, 2 children</w:t>
            </w:r>
          </w:p>
        </w:tc>
      </w:tr>
      <w:tr w:rsidR="00B7456D" w:rsidRPr="003652D8" w14:paraId="2E140077" w14:textId="77777777" w:rsidTr="00DC3E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hideMark/>
          </w:tcPr>
          <w:p w14:paraId="0FA8994D" w14:textId="77777777" w:rsidR="00B7456D" w:rsidRPr="00081490" w:rsidRDefault="00B7456D" w:rsidP="00DC3EE2">
            <w:pPr>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Batesville, MS</w:t>
            </w:r>
          </w:p>
        </w:tc>
        <w:tc>
          <w:tcPr>
            <w:tcW w:w="1668" w:type="pct"/>
            <w:hideMark/>
          </w:tcPr>
          <w:p w14:paraId="520DD0E0" w14:textId="77777777" w:rsidR="00B7456D" w:rsidRPr="00081490" w:rsidRDefault="00B7456D" w:rsidP="00B745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$19.23/hour</w:t>
            </w:r>
          </w:p>
        </w:tc>
        <w:tc>
          <w:tcPr>
            <w:tcW w:w="2276" w:type="pct"/>
            <w:hideMark/>
          </w:tcPr>
          <w:p w14:paraId="7712FA29" w14:textId="77777777" w:rsidR="00B7456D" w:rsidRPr="00081490" w:rsidRDefault="00B7456D" w:rsidP="00B745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$21.58/hour</w:t>
            </w:r>
          </w:p>
        </w:tc>
      </w:tr>
      <w:tr w:rsidR="00B7456D" w:rsidRPr="003652D8" w14:paraId="4B35424F" w14:textId="77777777" w:rsidTr="00DC3EE2">
        <w:tc>
          <w:tcPr>
            <w:cnfStyle w:val="001000000000" w:firstRow="0" w:lastRow="0" w:firstColumn="1" w:lastColumn="0" w:oddVBand="0" w:evenVBand="0" w:oddHBand="0" w:evenHBand="0" w:firstRowFirstColumn="0" w:firstRowLastColumn="0" w:lastRowFirstColumn="0" w:lastRowLastColumn="0"/>
            <w:tcW w:w="1056" w:type="pct"/>
            <w:hideMark/>
          </w:tcPr>
          <w:p w14:paraId="50629B96" w14:textId="77777777" w:rsidR="00B7456D" w:rsidRPr="00081490" w:rsidRDefault="00B7456D" w:rsidP="00DC3EE2">
            <w:pPr>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Los Lunas, NM</w:t>
            </w:r>
          </w:p>
        </w:tc>
        <w:tc>
          <w:tcPr>
            <w:tcW w:w="1668" w:type="pct"/>
            <w:hideMark/>
          </w:tcPr>
          <w:p w14:paraId="71F7B8D5" w14:textId="77777777" w:rsidR="00B7456D" w:rsidRPr="00081490" w:rsidRDefault="00B7456D" w:rsidP="00B745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$20.69/hour</w:t>
            </w:r>
          </w:p>
        </w:tc>
        <w:tc>
          <w:tcPr>
            <w:tcW w:w="2276" w:type="pct"/>
            <w:hideMark/>
          </w:tcPr>
          <w:p w14:paraId="477AC06F" w14:textId="77777777" w:rsidR="00B7456D" w:rsidRPr="00081490" w:rsidRDefault="00B7456D" w:rsidP="00B745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$25.90/hour</w:t>
            </w:r>
          </w:p>
        </w:tc>
      </w:tr>
      <w:tr w:rsidR="00B7456D" w:rsidRPr="003652D8" w14:paraId="1BC44F3F" w14:textId="77777777" w:rsidTr="00DC3E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hideMark/>
          </w:tcPr>
          <w:p w14:paraId="553D9E53" w14:textId="77777777" w:rsidR="00B7456D" w:rsidRPr="00081490" w:rsidRDefault="00B7456D" w:rsidP="00DC3EE2">
            <w:pPr>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Kuna, ID</w:t>
            </w:r>
          </w:p>
        </w:tc>
        <w:tc>
          <w:tcPr>
            <w:tcW w:w="1668" w:type="pct"/>
            <w:hideMark/>
          </w:tcPr>
          <w:p w14:paraId="37EFB6E3" w14:textId="77777777" w:rsidR="00B7456D" w:rsidRPr="00081490" w:rsidRDefault="00B7456D" w:rsidP="00B745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$25.67/hour</w:t>
            </w:r>
          </w:p>
        </w:tc>
        <w:tc>
          <w:tcPr>
            <w:tcW w:w="2276" w:type="pct"/>
            <w:hideMark/>
          </w:tcPr>
          <w:p w14:paraId="0247E90D" w14:textId="77777777" w:rsidR="00B7456D" w:rsidRPr="00081490" w:rsidRDefault="00B7456D" w:rsidP="00B745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$30.41/hour</w:t>
            </w:r>
          </w:p>
        </w:tc>
      </w:tr>
      <w:tr w:rsidR="00B7456D" w:rsidRPr="003652D8" w14:paraId="3215A2C5" w14:textId="77777777" w:rsidTr="00DC3EE2">
        <w:tc>
          <w:tcPr>
            <w:cnfStyle w:val="001000000000" w:firstRow="0" w:lastRow="0" w:firstColumn="1" w:lastColumn="0" w:oddVBand="0" w:evenVBand="0" w:oddHBand="0" w:evenHBand="0" w:firstRowFirstColumn="0" w:firstRowLastColumn="0" w:lastRowFirstColumn="0" w:lastRowLastColumn="0"/>
            <w:tcW w:w="1056" w:type="pct"/>
            <w:hideMark/>
          </w:tcPr>
          <w:p w14:paraId="5520EE38" w14:textId="77777777" w:rsidR="00B7456D" w:rsidRPr="00081490" w:rsidRDefault="00B7456D" w:rsidP="00DC3EE2">
            <w:pPr>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Turlock, CA</w:t>
            </w:r>
          </w:p>
        </w:tc>
        <w:tc>
          <w:tcPr>
            <w:tcW w:w="1668" w:type="pct"/>
            <w:hideMark/>
          </w:tcPr>
          <w:p w14:paraId="6B5FAC03" w14:textId="77777777" w:rsidR="00B7456D" w:rsidRPr="00081490" w:rsidRDefault="00B7456D" w:rsidP="00B745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$23.54/hour</w:t>
            </w:r>
          </w:p>
        </w:tc>
        <w:tc>
          <w:tcPr>
            <w:tcW w:w="2276" w:type="pct"/>
            <w:hideMark/>
          </w:tcPr>
          <w:p w14:paraId="5056EED8" w14:textId="77777777" w:rsidR="00B7456D" w:rsidRPr="00081490" w:rsidRDefault="00B7456D" w:rsidP="00B745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$28.68/hour</w:t>
            </w:r>
          </w:p>
        </w:tc>
      </w:tr>
      <w:tr w:rsidR="00B7456D" w:rsidRPr="003652D8" w14:paraId="19C7EE4D" w14:textId="77777777" w:rsidTr="00DC3E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hideMark/>
          </w:tcPr>
          <w:p w14:paraId="0312324B" w14:textId="77777777" w:rsidR="00B7456D" w:rsidRPr="00081490" w:rsidRDefault="00B7456D" w:rsidP="00DC3EE2">
            <w:pPr>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Flanders, NJ</w:t>
            </w:r>
          </w:p>
        </w:tc>
        <w:tc>
          <w:tcPr>
            <w:tcW w:w="1668" w:type="pct"/>
            <w:hideMark/>
          </w:tcPr>
          <w:p w14:paraId="6C2008BD" w14:textId="77777777" w:rsidR="00B7456D" w:rsidRPr="00081490" w:rsidRDefault="00B7456D" w:rsidP="00B745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$28.71/hour</w:t>
            </w:r>
          </w:p>
        </w:tc>
        <w:tc>
          <w:tcPr>
            <w:tcW w:w="2276" w:type="pct"/>
            <w:hideMark/>
          </w:tcPr>
          <w:p w14:paraId="23FC1BEC" w14:textId="77777777" w:rsidR="00B7456D" w:rsidRPr="00081490" w:rsidRDefault="00B7456D" w:rsidP="00B745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081490">
              <w:rPr>
                <w:rFonts w:ascii="Times New Roman" w:eastAsia="Times New Roman" w:hAnsi="Times New Roman" w:cs="Times New Roman"/>
                <w:kern w:val="0"/>
                <w14:ligatures w14:val="none"/>
              </w:rPr>
              <w:t>$37.00/hour</w:t>
            </w:r>
          </w:p>
        </w:tc>
      </w:tr>
    </w:tbl>
    <w:p w14:paraId="1E801BEA" w14:textId="456C28C5" w:rsidR="00347FC4" w:rsidRPr="00C467E9" w:rsidRDefault="00347FC4" w:rsidP="00347FC4">
      <w:pPr>
        <w:spacing w:before="200"/>
        <w:rPr>
          <w:b/>
          <w:bCs/>
          <w:u w:val="single"/>
        </w:rPr>
      </w:pPr>
      <w:r w:rsidRPr="00C467E9">
        <w:t xml:space="preserve">In other words, </w:t>
      </w:r>
      <w:r w:rsidR="0090655F" w:rsidRPr="00C467E9">
        <w:t>Walmart’s</w:t>
      </w:r>
      <w:r w:rsidRPr="00C467E9">
        <w:t xml:space="preserve"> starting pay is </w:t>
      </w:r>
      <w:r w:rsidRPr="00C467E9">
        <w:rPr>
          <w:b/>
          <w:bCs/>
          <w:u w:val="single"/>
        </w:rPr>
        <w:t>deeply inadequate</w:t>
      </w:r>
      <w:r w:rsidRPr="00C467E9">
        <w:t xml:space="preserve"> no matter the employee’s location or family situation, and its average wage </w:t>
      </w:r>
      <w:r w:rsidR="00F26F09" w:rsidRPr="00C467E9">
        <w:t>fails to meet</w:t>
      </w:r>
      <w:r w:rsidRPr="00C467E9">
        <w:t xml:space="preserve"> the basic needs of single, childless employees</w:t>
      </w:r>
      <w:r w:rsidR="00A365EC" w:rsidRPr="00C467E9">
        <w:t xml:space="preserve"> even</w:t>
      </w:r>
      <w:r w:rsidRPr="00C467E9">
        <w:t xml:space="preserve"> in the most economically disadvantaged areas of the country. </w:t>
      </w:r>
      <w:r w:rsidRPr="00C467E9">
        <w:rPr>
          <w:b/>
          <w:bCs/>
          <w:u w:val="single"/>
        </w:rPr>
        <w:t xml:space="preserve">The average </w:t>
      </w:r>
      <w:r w:rsidR="00DF6E7C" w:rsidRPr="00C467E9">
        <w:rPr>
          <w:b/>
          <w:bCs/>
          <w:u w:val="single"/>
        </w:rPr>
        <w:t>Walmart associate</w:t>
      </w:r>
      <w:r w:rsidRPr="00C467E9">
        <w:rPr>
          <w:b/>
          <w:bCs/>
          <w:u w:val="single"/>
        </w:rPr>
        <w:t xml:space="preserve"> makes far less than necessary to sustain a family of four with both adults working full time, even in locations with the lowest cost of living.</w:t>
      </w:r>
      <w:r w:rsidR="003921D4" w:rsidRPr="00C467E9">
        <w:rPr>
          <w:b/>
          <w:bCs/>
          <w:u w:val="single"/>
        </w:rPr>
        <w:t xml:space="preserve"> Its</w:t>
      </w:r>
      <w:bookmarkStart w:id="2" w:name="_Hlk165295198"/>
      <w:r w:rsidR="003921D4" w:rsidRPr="00C467E9">
        <w:rPr>
          <w:b/>
          <w:bCs/>
          <w:u w:val="single"/>
        </w:rPr>
        <w:t xml:space="preserve"> average hourly wage isn’t even enough to sustain a single adult with no children in the lowest cost-of-living location cited above.</w:t>
      </w:r>
    </w:p>
    <w:bookmarkEnd w:id="2"/>
    <w:p w14:paraId="5166A435" w14:textId="7696C026" w:rsidR="00A05F42" w:rsidRPr="00C467E9" w:rsidRDefault="001504CD" w:rsidP="001504CD">
      <w:r w:rsidRPr="00C467E9">
        <w:t xml:space="preserve">Corresponding to Walmart’s current failure to pay many of its employees a living wage, there is also significant wage inequality within the Company. According to </w:t>
      </w:r>
      <w:r w:rsidR="00B97F70">
        <w:t>Walmart’s</w:t>
      </w:r>
      <w:r w:rsidRPr="00C467E9">
        <w:t xml:space="preserve"> </w:t>
      </w:r>
      <w:r w:rsidR="00AA204C" w:rsidRPr="00C467E9">
        <w:t>202</w:t>
      </w:r>
      <w:r w:rsidR="00A94150">
        <w:t>5</w:t>
      </w:r>
      <w:r w:rsidR="00AA204C" w:rsidRPr="00C467E9">
        <w:t xml:space="preserve"> </w:t>
      </w:r>
      <w:r w:rsidRPr="00C467E9">
        <w:t>Proxy Statement</w:t>
      </w:r>
      <w:r w:rsidR="001E357F" w:rsidRPr="00C467E9">
        <w:t>,</w:t>
      </w:r>
      <w:r w:rsidRPr="00C467E9">
        <w:t xml:space="preserve"> the Company’s CEO made $2</w:t>
      </w:r>
      <w:r w:rsidR="00FC5B80">
        <w:t>7</w:t>
      </w:r>
      <w:r w:rsidRPr="00C467E9">
        <w:t xml:space="preserve"> million in the previous fiscal year, or 9</w:t>
      </w:r>
      <w:r w:rsidR="00A97A07">
        <w:t>3</w:t>
      </w:r>
      <w:r w:rsidR="00FC5B80">
        <w:t>0</w:t>
      </w:r>
      <w:r w:rsidRPr="00C467E9">
        <w:t xml:space="preserve"> times more than the Company’s median </w:t>
      </w:r>
      <w:r w:rsidR="001E357F" w:rsidRPr="00C467E9">
        <w:t>employee</w:t>
      </w:r>
      <w:r w:rsidRPr="00C467E9">
        <w:t>.</w:t>
      </w:r>
    </w:p>
    <w:p w14:paraId="31EC2CF8" w14:textId="7E87D393" w:rsidR="00012746" w:rsidRPr="00C467E9" w:rsidRDefault="005F7CA3" w:rsidP="001504CD">
      <w:r w:rsidRPr="00C467E9">
        <w:lastRenderedPageBreak/>
        <w:t>In its Opposition Statement</w:t>
      </w:r>
      <w:r w:rsidR="00B97F70">
        <w:t xml:space="preserve"> to </w:t>
      </w:r>
      <w:r w:rsidR="00271EFC">
        <w:t>TSC’s</w:t>
      </w:r>
      <w:r w:rsidR="00B97F70">
        <w:t xml:space="preserve"> proposal last year</w:t>
      </w:r>
      <w:r w:rsidRPr="00C467E9">
        <w:t xml:space="preserve">, Walmart </w:t>
      </w:r>
      <w:r w:rsidR="00F06E9C" w:rsidRPr="00C467E9">
        <w:t>assert</w:t>
      </w:r>
      <w:r w:rsidR="00B97F70">
        <w:t>ed</w:t>
      </w:r>
      <w:r w:rsidR="00F06E9C" w:rsidRPr="00C467E9">
        <w:t xml:space="preserve"> that </w:t>
      </w:r>
      <w:r w:rsidR="002650D3" w:rsidRPr="00C467E9">
        <w:t xml:space="preserve">its associates who are women or people of color </w:t>
      </w:r>
      <w:r w:rsidR="008359A5" w:rsidRPr="00C467E9">
        <w:t xml:space="preserve">are </w:t>
      </w:r>
      <w:r w:rsidR="009D109A" w:rsidRPr="00C467E9">
        <w:t xml:space="preserve">“paid 1:1 (dollar for dollar)” the pay of their white and male counterparts. </w:t>
      </w:r>
      <w:r w:rsidR="00F70854" w:rsidRPr="00C467E9">
        <w:t xml:space="preserve">We </w:t>
      </w:r>
      <w:r w:rsidR="00F81894" w:rsidRPr="00C467E9">
        <w:t>do not</w:t>
      </w:r>
      <w:r w:rsidR="00F70854" w:rsidRPr="00C467E9">
        <w:t xml:space="preserve"> dispute that assertion, but it is not </w:t>
      </w:r>
      <w:r w:rsidR="00D52CD2" w:rsidRPr="00C467E9">
        <w:t xml:space="preserve">responsive to </w:t>
      </w:r>
      <w:r w:rsidR="00FB5693" w:rsidRPr="00C467E9">
        <w:t xml:space="preserve">Walmart’s contribution to expanding, economy-wide </w:t>
      </w:r>
      <w:r w:rsidR="00B10B3F" w:rsidRPr="00C467E9">
        <w:t xml:space="preserve">racial disparity in income: Walmart’s employees of color make up a disproportionate number of employees not earning a living wage because people of color compose more than half the Company’s U.S. workforce, yet account for </w:t>
      </w:r>
      <w:r w:rsidR="00475A12">
        <w:t>less than</w:t>
      </w:r>
      <w:r w:rsidR="00B10B3F" w:rsidRPr="00C467E9">
        <w:t xml:space="preserve"> </w:t>
      </w:r>
      <w:r w:rsidR="00717CF9">
        <w:t>30</w:t>
      </w:r>
      <w:r w:rsidR="00B10B3F" w:rsidRPr="00C467E9">
        <w:t xml:space="preserve"> percent of officer roles.</w:t>
      </w:r>
      <w:r w:rsidR="00B10B3F" w:rsidRPr="00C467E9">
        <w:rPr>
          <w:vertAlign w:val="superscript"/>
        </w:rPr>
        <w:footnoteReference w:id="11"/>
      </w:r>
    </w:p>
    <w:p w14:paraId="1511EE62" w14:textId="6A97E210" w:rsidR="001F7602" w:rsidRPr="00C467E9" w:rsidRDefault="00527E39" w:rsidP="001F7602">
      <w:r>
        <w:t xml:space="preserve">It appears </w:t>
      </w:r>
      <w:r w:rsidR="009173DE">
        <w:t>Walmart’s</w:t>
      </w:r>
      <w:r w:rsidR="001F7602">
        <w:t xml:space="preserve"> decision not to </w:t>
      </w:r>
      <w:r w:rsidR="009173DE">
        <w:t>pay a living wage</w:t>
      </w:r>
      <w:r w:rsidR="00FC2EFE">
        <w:t xml:space="preserve"> is</w:t>
      </w:r>
      <w:r w:rsidR="001F7602">
        <w:t xml:space="preserve"> </w:t>
      </w:r>
      <w:r w:rsidR="00DC6FB7">
        <w:t>attributable to a</w:t>
      </w:r>
      <w:r w:rsidR="001F7602">
        <w:t xml:space="preserve"> Company approach to </w:t>
      </w:r>
      <w:r w:rsidR="00FC2EFE">
        <w:t>compensation</w:t>
      </w:r>
      <w:r w:rsidR="001F7602">
        <w:t xml:space="preserve"> </w:t>
      </w:r>
      <w:r w:rsidR="00DC6FB7">
        <w:t xml:space="preserve">that </w:t>
      </w:r>
      <w:r w:rsidR="001F7602">
        <w:t xml:space="preserve">does not </w:t>
      </w:r>
      <w:r w:rsidR="00110498">
        <w:t xml:space="preserve">account for </w:t>
      </w:r>
      <w:r w:rsidR="001F7602">
        <w:t>economy</w:t>
      </w:r>
      <w:r w:rsidR="00C069B8">
        <w:t>-</w:t>
      </w:r>
      <w:r w:rsidR="002F2B43">
        <w:t xml:space="preserve"> or portfolio</w:t>
      </w:r>
      <w:r w:rsidR="00C069B8">
        <w:t>-</w:t>
      </w:r>
      <w:r w:rsidR="001F7602">
        <w:t xml:space="preserve">wide risk </w:t>
      </w:r>
      <w:proofErr w:type="gramStart"/>
      <w:r w:rsidR="001F7602">
        <w:t>mitigation</w:t>
      </w:r>
      <w:r w:rsidR="00C069B8">
        <w:t>,</w:t>
      </w:r>
      <w:r w:rsidR="001F7602">
        <w:t xml:space="preserve"> and</w:t>
      </w:r>
      <w:proofErr w:type="gramEnd"/>
      <w:r w:rsidR="001F7602">
        <w:t xml:space="preserve"> instead focuses </w:t>
      </w:r>
      <w:r w:rsidR="423C8F52">
        <w:t xml:space="preserve">solely </w:t>
      </w:r>
      <w:r w:rsidR="001F7602">
        <w:t>on risks to its own business.</w:t>
      </w:r>
    </w:p>
    <w:p w14:paraId="3F7FB16C" w14:textId="38008FC0" w:rsidR="00806DAF" w:rsidRPr="00C467E9" w:rsidRDefault="001C3B20" w:rsidP="00806DAF">
      <w:pPr>
        <w:pStyle w:val="Heading2"/>
      </w:pPr>
      <w:r w:rsidRPr="00C467E9">
        <w:t>The</w:t>
      </w:r>
      <w:r w:rsidR="00DE6C24" w:rsidRPr="00C467E9">
        <w:t xml:space="preserve"> broad economic </w:t>
      </w:r>
      <w:r w:rsidR="00E448E3" w:rsidRPr="00C467E9">
        <w:t>cost</w:t>
      </w:r>
      <w:r w:rsidRPr="00C467E9">
        <w:t xml:space="preserve"> associated with poverty wages and income inequality</w:t>
      </w:r>
      <w:r w:rsidR="00E448E3" w:rsidRPr="00C467E9">
        <w:t xml:space="preserve"> surpasses any risk the issue poses to </w:t>
      </w:r>
      <w:r w:rsidRPr="00C467E9">
        <w:t>Walmart</w:t>
      </w:r>
      <w:r w:rsidR="00E448E3" w:rsidRPr="00C467E9">
        <w:t xml:space="preserve"> itself</w:t>
      </w:r>
    </w:p>
    <w:p w14:paraId="7E8635DC" w14:textId="48D3B181" w:rsidR="004C0B0F" w:rsidRPr="00C467E9" w:rsidRDefault="004C0B0F" w:rsidP="002F2240">
      <w:pPr>
        <w:rPr>
          <w:u w:val="single"/>
        </w:rPr>
      </w:pPr>
      <w:r w:rsidRPr="00C467E9">
        <w:rPr>
          <w:u w:val="single"/>
        </w:rPr>
        <w:t>Walmart as a unitary economic force</w:t>
      </w:r>
    </w:p>
    <w:p w14:paraId="58D3B85A" w14:textId="0C5073ED" w:rsidR="002F2240" w:rsidRPr="00C467E9" w:rsidRDefault="004B194F" w:rsidP="002F2240">
      <w:r w:rsidRPr="00C467E9">
        <w:t xml:space="preserve">Walmart is the largest </w:t>
      </w:r>
      <w:r w:rsidR="00C30E72">
        <w:t xml:space="preserve">private </w:t>
      </w:r>
      <w:r w:rsidRPr="00C467E9">
        <w:t xml:space="preserve">employer </w:t>
      </w:r>
      <w:r w:rsidR="003A4346">
        <w:t xml:space="preserve">not only </w:t>
      </w:r>
      <w:r w:rsidRPr="00C467E9">
        <w:t>in the United States</w:t>
      </w:r>
      <w:r w:rsidRPr="00C467E9">
        <w:rPr>
          <w:vertAlign w:val="superscript"/>
        </w:rPr>
        <w:footnoteReference w:id="12"/>
      </w:r>
      <w:r w:rsidRPr="00C467E9">
        <w:t xml:space="preserve"> </w:t>
      </w:r>
      <w:r w:rsidR="003A4346">
        <w:t>but also in the world,</w:t>
      </w:r>
      <w:r w:rsidR="00007700">
        <w:rPr>
          <w:rStyle w:val="FootnoteReference"/>
        </w:rPr>
        <w:footnoteReference w:id="13"/>
      </w:r>
      <w:r w:rsidR="003A4346">
        <w:t xml:space="preserve"> </w:t>
      </w:r>
      <w:r w:rsidR="00927C47" w:rsidRPr="00C467E9">
        <w:t>giving</w:t>
      </w:r>
      <w:r w:rsidRPr="00C467E9">
        <w:t xml:space="preserve"> its </w:t>
      </w:r>
      <w:r w:rsidR="002F2240" w:rsidRPr="00C467E9">
        <w:t xml:space="preserve">wages </w:t>
      </w:r>
      <w:r w:rsidR="00B44403" w:rsidRPr="00C467E9">
        <w:t>economy-wide</w:t>
      </w:r>
      <w:r w:rsidR="00927C47" w:rsidRPr="00C467E9">
        <w:t xml:space="preserve"> impact</w:t>
      </w:r>
      <w:r w:rsidR="002F2240" w:rsidRPr="00C467E9">
        <w:t>. With 1.6 million associates in the United States alone,</w:t>
      </w:r>
      <w:r w:rsidR="002F2240" w:rsidRPr="00C467E9">
        <w:rPr>
          <w:vertAlign w:val="superscript"/>
        </w:rPr>
        <w:footnoteReference w:id="14"/>
      </w:r>
      <w:r w:rsidR="002F2240" w:rsidRPr="00C467E9">
        <w:t xml:space="preserve"> more people work at Walmart than the collective populations of 11 U.S. states and the District of Columbia.</w:t>
      </w:r>
      <w:r w:rsidR="002F2240" w:rsidRPr="00C467E9">
        <w:rPr>
          <w:vertAlign w:val="superscript"/>
        </w:rPr>
        <w:footnoteReference w:id="15"/>
      </w:r>
      <w:r w:rsidR="002F2240" w:rsidRPr="00C467E9">
        <w:t xml:space="preserve"> A 2020 research article found that if Walmart were a country, it would rank in the top 25 countries in terms of GDP.</w:t>
      </w:r>
      <w:r w:rsidR="002F2240" w:rsidRPr="00C467E9">
        <w:rPr>
          <w:vertAlign w:val="superscript"/>
        </w:rPr>
        <w:footnoteReference w:id="16"/>
      </w:r>
      <w:r w:rsidR="002F2240" w:rsidRPr="00C467E9">
        <w:t xml:space="preserve"> </w:t>
      </w:r>
    </w:p>
    <w:p w14:paraId="77967391" w14:textId="533D2259" w:rsidR="002F2240" w:rsidRPr="00D7283E" w:rsidRDefault="002F2240" w:rsidP="00A925D7">
      <w:r w:rsidRPr="00C467E9">
        <w:t>The term “Walmart Effect” can be traced back to the 1990s.</w:t>
      </w:r>
      <w:r w:rsidRPr="00C467E9">
        <w:rPr>
          <w:vertAlign w:val="superscript"/>
        </w:rPr>
        <w:footnoteReference w:id="17"/>
      </w:r>
      <w:r w:rsidRPr="00C467E9">
        <w:t xml:space="preserve"> In 2006, business journalist Charles Fishman wrote a book titled “The Walmart Effect”</w:t>
      </w:r>
      <w:r w:rsidRPr="00C467E9">
        <w:rPr>
          <w:vertAlign w:val="superscript"/>
        </w:rPr>
        <w:footnoteReference w:id="18"/>
      </w:r>
      <w:r w:rsidRPr="00C467E9">
        <w:t xml:space="preserve"> describing the effects Walmart has on the economy. In 2013, Democratic staff of the U.S. House Committee on Education and the Workforce issued a report titled: “The Low-Wage Drag on Our Economy: Wal-Mart’s low wages and their effect on taxpayers and economic growth.”</w:t>
      </w:r>
      <w:r w:rsidRPr="00C467E9">
        <w:rPr>
          <w:vertAlign w:val="superscript"/>
        </w:rPr>
        <w:footnoteReference w:id="19"/>
      </w:r>
      <w:r w:rsidRPr="00C467E9">
        <w:t xml:space="preserve"> </w:t>
      </w:r>
      <w:bookmarkStart w:id="3" w:name="BACKGROUND"/>
      <w:r w:rsidRPr="00C467E9">
        <w:t>The</w:t>
      </w:r>
      <w:bookmarkEnd w:id="3"/>
      <w:r w:rsidRPr="00C467E9">
        <w:t xml:space="preserve"> report raises the issue of cost externalization of Walmart’s low wages: “While employers like Wal-Mart seek to reap significant profits through the depression of labor costs, the social </w:t>
      </w:r>
      <w:r w:rsidRPr="00C467E9">
        <w:lastRenderedPageBreak/>
        <w:t xml:space="preserve">costs of this low-wage strategy are externalized.” </w:t>
      </w:r>
      <w:r w:rsidR="00D7283E">
        <w:t xml:space="preserve">And a December 2024 article in </w:t>
      </w:r>
      <w:r w:rsidR="00D7283E">
        <w:rPr>
          <w:i/>
          <w:iCs/>
        </w:rPr>
        <w:t>The Atlantic</w:t>
      </w:r>
      <w:r w:rsidR="00D7283E">
        <w:t xml:space="preserve">, also titled “The Walmart Effect,” </w:t>
      </w:r>
      <w:r w:rsidR="00AC4271">
        <w:t>highlighted two new research papers that concluded</w:t>
      </w:r>
      <w:r w:rsidR="001F5BAC">
        <w:t xml:space="preserve"> that on net, “</w:t>
      </w:r>
      <w:r w:rsidR="001F5BAC" w:rsidRPr="001F5BAC">
        <w:t>Walmart makes the places it operates in poorer than they would be if it had never shown up at all.</w:t>
      </w:r>
      <w:r w:rsidR="001F5BAC">
        <w:t>”</w:t>
      </w:r>
      <w:r w:rsidR="00671CA6">
        <w:rPr>
          <w:rStyle w:val="FootnoteReference"/>
        </w:rPr>
        <w:footnoteReference w:id="20"/>
      </w:r>
    </w:p>
    <w:p w14:paraId="1D508C6A" w14:textId="650F320C" w:rsidR="00687E15" w:rsidRPr="00C467E9" w:rsidRDefault="000E7D59" w:rsidP="006820B2">
      <w:pPr>
        <w:rPr>
          <w:u w:val="single"/>
        </w:rPr>
      </w:pPr>
      <w:r w:rsidRPr="00C467E9">
        <w:rPr>
          <w:u w:val="single"/>
        </w:rPr>
        <w:t>Generalized impacts of corporate cost externalization from underpaying workers</w:t>
      </w:r>
    </w:p>
    <w:p w14:paraId="775B1E7D" w14:textId="7F3D1985" w:rsidR="006820B2" w:rsidRPr="00C467E9" w:rsidRDefault="006820B2" w:rsidP="006820B2">
      <w:r w:rsidRPr="00C467E9">
        <w:t>It has been estimated that a one percent increase in inequality leads to a decrease in GDP of 0.6-1.0 percent.</w:t>
      </w:r>
      <w:r w:rsidRPr="00C467E9">
        <w:rPr>
          <w:vertAlign w:val="superscript"/>
        </w:rPr>
        <w:footnoteReference w:id="21"/>
      </w:r>
      <w:r w:rsidRPr="00C467E9">
        <w:t xml:space="preserve"> A one percent difference in inequality could thus lead to 17-26 percent lower GDP over 30 years and correspondingly lower returns for a diversified portfolio. This means that a 32-year-old worker saving for retirement today through a defined contribution plan could expect to have a nest egg 17-26 percent smaller at age 62. A defined benefit plan facing the same deficit could be forced to lower its benefits significantly, increase employer or employee contributions, or—in the case of a public pension fund—increased tax burdens.</w:t>
      </w:r>
    </w:p>
    <w:p w14:paraId="3CAC7253" w14:textId="60D93EAE" w:rsidR="001C3B20" w:rsidRPr="00C467E9" w:rsidRDefault="00030AD7" w:rsidP="00B8025B">
      <w:r>
        <w:t xml:space="preserve">We cover more empirical evidence of </w:t>
      </w:r>
      <w:r w:rsidR="00B854B2">
        <w:t>the economic damage associated with an underpaid labor force in the next section.</w:t>
      </w:r>
    </w:p>
    <w:p w14:paraId="2D9C3655" w14:textId="2998E232" w:rsidR="00E83EFB" w:rsidRPr="00C467E9" w:rsidRDefault="00605309" w:rsidP="00582A7E">
      <w:pPr>
        <w:pStyle w:val="Heading1"/>
      </w:pPr>
      <w:r w:rsidRPr="00C467E9">
        <w:t>Poverty wages and income inequality</w:t>
      </w:r>
      <w:r w:rsidR="00E83EFB" w:rsidRPr="00C467E9">
        <w:t xml:space="preserve"> threaten the returns of </w:t>
      </w:r>
      <w:r w:rsidRPr="00C467E9">
        <w:t>Walmart’s</w:t>
      </w:r>
      <w:r w:rsidR="00E83EFB" w:rsidRPr="00C467E9">
        <w:t xml:space="preserve"> diversified investors</w:t>
      </w:r>
    </w:p>
    <w:p w14:paraId="31CB3F70" w14:textId="77777777" w:rsidR="0076621D" w:rsidRPr="00DA36E6" w:rsidRDefault="0076621D" w:rsidP="0076621D">
      <w:pPr>
        <w:pStyle w:val="Heading2"/>
        <w:numPr>
          <w:ilvl w:val="0"/>
          <w:numId w:val="3"/>
        </w:numPr>
      </w:pPr>
      <w:r w:rsidRPr="00DA36E6">
        <w:t>Investors must diversify to optimize their portfolios</w:t>
      </w:r>
    </w:p>
    <w:p w14:paraId="5D4D71E5" w14:textId="77777777" w:rsidR="0076621D" w:rsidRPr="00DA36E6" w:rsidRDefault="0076621D" w:rsidP="0076621D">
      <w:r w:rsidRPr="00DA36E6">
        <w:t>It is commonly understood that investors are best served by diversifying their portfolios.</w:t>
      </w:r>
      <w:bookmarkStart w:id="4" w:name="_Ref101176449"/>
      <w:r w:rsidRPr="00DA36E6">
        <w:rPr>
          <w:vertAlign w:val="superscript"/>
        </w:rPr>
        <w:footnoteReference w:id="22"/>
      </w:r>
      <w:bookmarkEnd w:id="4"/>
      <w:r w:rsidRPr="00DA36E6">
        <w:t xml:space="preserve"> Diversification allows investors to reap the increased returns available from risky securities while greatly reducing that risk.</w:t>
      </w:r>
      <w:r w:rsidRPr="00DA36E6">
        <w:rPr>
          <w:vertAlign w:val="superscript"/>
        </w:rPr>
        <w:footnoteReference w:id="23"/>
      </w:r>
      <w:r w:rsidRPr="00DA36E6">
        <w:t xml:space="preserve"> This core principle is reflected in federal law, which requires fiduciaries of federally regulated retirement plans to “</w:t>
      </w:r>
      <w:proofErr w:type="gramStart"/>
      <w:r w:rsidRPr="00DA36E6">
        <w:t>diversify[</w:t>
      </w:r>
      <w:proofErr w:type="gramEnd"/>
      <w:r w:rsidRPr="00DA36E6">
        <w:t>] the investments of the plan.”</w:t>
      </w:r>
      <w:r w:rsidRPr="00DA36E6">
        <w:rPr>
          <w:vertAlign w:val="superscript"/>
        </w:rPr>
        <w:footnoteReference w:id="24"/>
      </w:r>
      <w:r w:rsidRPr="00DA36E6">
        <w:t xml:space="preserve"> Similar principles govern other investment fiduciaries.</w:t>
      </w:r>
      <w:r w:rsidRPr="00DA36E6">
        <w:rPr>
          <w:vertAlign w:val="superscript"/>
        </w:rPr>
        <w:footnoteReference w:id="25"/>
      </w:r>
    </w:p>
    <w:p w14:paraId="7F173F98" w14:textId="77777777" w:rsidR="0076621D" w:rsidRPr="00DA36E6" w:rsidRDefault="0076621D" w:rsidP="0076621D">
      <w:pPr>
        <w:pStyle w:val="Heading2"/>
      </w:pPr>
      <w:bookmarkStart w:id="5" w:name="_Toc90237218"/>
      <w:r w:rsidRPr="00DA36E6">
        <w:t>The performance of a diversified portfolio largely depends on overall market return</w:t>
      </w:r>
      <w:bookmarkEnd w:id="5"/>
      <w:r w:rsidRPr="00DA36E6">
        <w:t xml:space="preserve"> </w:t>
      </w:r>
    </w:p>
    <w:p w14:paraId="39EFAF84" w14:textId="77777777" w:rsidR="0076621D" w:rsidRDefault="0076621D" w:rsidP="0076621D">
      <w:r w:rsidRPr="00DA36E6">
        <w:t xml:space="preserve">Diversification is thus required by accepted investment theory and imposed by law on investment fiduciaries. Once a portfolio is diversified, the most important factor determining return will not be how the companies in that portfolio perform relative to other companies (“alpha”), but rather how the market </w:t>
      </w:r>
      <w:proofErr w:type="gramStart"/>
      <w:r w:rsidRPr="00DA36E6">
        <w:t>performs as a whole</w:t>
      </w:r>
      <w:proofErr w:type="gramEnd"/>
      <w:r w:rsidRPr="00DA36E6">
        <w:t xml:space="preserve"> (“beta”). In other words, the financial return to such diversified investors chiefly depends on the performance of the market, not the performance of individual companies. As one work </w:t>
      </w:r>
      <w:r w:rsidRPr="00DA36E6">
        <w:lastRenderedPageBreak/>
        <w:t xml:space="preserve">describes this, </w:t>
      </w:r>
      <w:r>
        <w:t>“</w:t>
      </w:r>
      <w:r w:rsidRPr="007F6185">
        <w:t>virtually all investors have permanent exposure to systematic market risk, which will still determine 75-95% of their return</w:t>
      </w:r>
      <w:r w:rsidRPr="00EC29CE">
        <w:t>.”</w:t>
      </w:r>
      <w:bookmarkStart w:id="6" w:name="_Ref90133433"/>
      <w:r w:rsidRPr="00EC29CE">
        <w:rPr>
          <w:rFonts w:eastAsia="Roboto" w:cs="Roboto"/>
          <w:color w:val="4C4C4C"/>
          <w:szCs w:val="24"/>
          <w:vertAlign w:val="superscript"/>
        </w:rPr>
        <w:footnoteReference w:id="26"/>
      </w:r>
      <w:bookmarkEnd w:id="6"/>
      <w:r w:rsidRPr="00EC29CE">
        <w:t xml:space="preserve"> </w:t>
      </w:r>
    </w:p>
    <w:p w14:paraId="3B2D3A30" w14:textId="558701DA" w:rsidR="0076621D" w:rsidRPr="00DA36E6" w:rsidRDefault="0076621D" w:rsidP="0076621D">
      <w:r w:rsidRPr="00DA36E6">
        <w:t xml:space="preserve">As shown in the next section, the social and environmental impacts of individual companies such as </w:t>
      </w:r>
      <w:r w:rsidR="00211476">
        <w:t>Walmart</w:t>
      </w:r>
      <w:r w:rsidRPr="00DA36E6">
        <w:t xml:space="preserve"> can significantly affect beta. </w:t>
      </w:r>
    </w:p>
    <w:p w14:paraId="7AA85107" w14:textId="77777777" w:rsidR="004B6714" w:rsidRPr="00C467E9" w:rsidRDefault="004B6714" w:rsidP="00FF74AC">
      <w:pPr>
        <w:pStyle w:val="Heading2"/>
      </w:pPr>
      <w:r w:rsidRPr="00C467E9">
        <w:t>Costs companies impose on social and environmental systems heavily influence beta</w:t>
      </w:r>
    </w:p>
    <w:p w14:paraId="26397CBF" w14:textId="77777777" w:rsidR="004B6714" w:rsidRPr="00C467E9" w:rsidRDefault="004B6714" w:rsidP="00FF74AC">
      <w:r w:rsidRPr="00C467E9">
        <w:t>Over long time periods, beta is influenced chiefly by the performance of the economy itself, because the value of the investable universe is equal to the portion of the productive economy that the companies in the market represent.</w:t>
      </w:r>
      <w:r w:rsidRPr="00C467E9">
        <w:rPr>
          <w:vertAlign w:val="superscript"/>
        </w:rPr>
        <w:footnoteReference w:id="27"/>
      </w:r>
      <w:r w:rsidRPr="00C467E9">
        <w:t xml:space="preserve"> Over the long run, diversified portfolios rise and fall with GDP or other indicators of the intrinsic value of the economy. As the legendary investor Warren Buffet puts it, GDP is the “best single measure” for broad market valuations.</w:t>
      </w:r>
      <w:bookmarkStart w:id="7" w:name="_Ref101176653"/>
      <w:r w:rsidRPr="00C467E9">
        <w:rPr>
          <w:vertAlign w:val="superscript"/>
        </w:rPr>
        <w:footnoteReference w:id="28"/>
      </w:r>
      <w:bookmarkEnd w:id="7"/>
    </w:p>
    <w:p w14:paraId="2BBE65BC" w14:textId="77777777" w:rsidR="005847DF" w:rsidRDefault="005847DF" w:rsidP="005847DF">
      <w:r w:rsidRPr="003E2275">
        <w:t>But the social and environmental costs created by companies pursuing profits can burden the economy.</w:t>
      </w:r>
      <w:r>
        <w:rPr>
          <w:rStyle w:val="FootnoteReference"/>
        </w:rPr>
        <w:footnoteReference w:id="29"/>
      </w:r>
      <w:r w:rsidRPr="003E2275">
        <w:t xml:space="preserve"> For example, </w:t>
      </w:r>
      <w:r>
        <w:t>recent research revealed rising income inequality’s drag on GDP. The increase in income inequality between 1979 and 2018 reduced growth in aggregate demand by about 1.5 percent of GDP. Relative to the 1979 baseline, rising income inequality lowered aggregate demand growth by more than 4 percent annually in the United States.</w:t>
      </w:r>
      <w:r>
        <w:rPr>
          <w:rStyle w:val="FootnoteReference"/>
        </w:rPr>
        <w:footnoteReference w:id="30"/>
      </w:r>
    </w:p>
    <w:p w14:paraId="425195CB" w14:textId="77777777" w:rsidR="005847DF" w:rsidRDefault="005847DF" w:rsidP="005847DF">
      <w:r>
        <w:t>Additional r</w:t>
      </w:r>
      <w:r w:rsidRPr="005A5E7A">
        <w:t>esearch reveals that income inequality and attendant racial and gender disparity harm the entire economy. According to the Economic Policy Institute, income inequality is slowing U.S. economic growth by reducing demand by 2-4 percent.</w:t>
      </w:r>
      <w:r w:rsidRPr="005A5E7A">
        <w:rPr>
          <w:vertAlign w:val="superscript"/>
        </w:rPr>
        <w:footnoteReference w:id="31"/>
      </w:r>
      <w:r w:rsidRPr="005A5E7A">
        <w:t xml:space="preserve"> </w:t>
      </w:r>
      <w:r w:rsidRPr="00B0750E">
        <w:t xml:space="preserve">The Federal Reserve Bank of San Francisco determined that gender and racial gaps created </w:t>
      </w:r>
      <w:r>
        <w:t>$</w:t>
      </w:r>
      <w:r w:rsidRPr="00B0750E">
        <w:t>2.9 trillion in losses to U.S. GDP in 2019.</w:t>
      </w:r>
      <w:r w:rsidRPr="00B0750E">
        <w:rPr>
          <w:vertAlign w:val="superscript"/>
        </w:rPr>
        <w:footnoteReference w:id="32"/>
      </w:r>
      <w:r w:rsidRPr="00B0750E">
        <w:t xml:space="preserve"> Moreover, a recent report from Citigroup found that had four key racial gaps for Black Americans—wages, education, housing, and investment—been closed in 2000, $16 trillion could have been added to the U.S. economy. Closing those </w:t>
      </w:r>
      <w:r w:rsidRPr="00B0750E">
        <w:lastRenderedPageBreak/>
        <w:t>gaps in 2020 could have added $5 trillion to the U.S. economy over the ensuing five years.</w:t>
      </w:r>
      <w:r w:rsidRPr="00B0750E">
        <w:rPr>
          <w:vertAlign w:val="superscript"/>
        </w:rPr>
        <w:footnoteReference w:id="33"/>
      </w:r>
      <w:r w:rsidRPr="005A5E7A">
        <w:t xml:space="preserve"> The same study explains steps that corporations could take to reduce the gap. This drag on GDP directly reduces the return on a diversified portfolio over the long term.</w:t>
      </w:r>
      <w:r>
        <w:t xml:space="preserve"> </w:t>
      </w:r>
    </w:p>
    <w:p w14:paraId="4EEC64F0" w14:textId="77777777" w:rsidR="005847DF" w:rsidRPr="005A5E7A" w:rsidRDefault="005847DF" w:rsidP="005847DF">
      <w:r>
        <w:t>Conversely, c</w:t>
      </w:r>
      <w:r w:rsidRPr="003A5653">
        <w:t xml:space="preserve">losing the living wage gap worldwide could generate an additional </w:t>
      </w:r>
      <w:r>
        <w:t>$</w:t>
      </w:r>
      <w:r w:rsidRPr="003A5653">
        <w:t>4.56 trillion</w:t>
      </w:r>
      <w:r w:rsidRPr="003A5653">
        <w:rPr>
          <w:b/>
          <w:bCs/>
        </w:rPr>
        <w:t xml:space="preserve"> </w:t>
      </w:r>
      <w:r w:rsidRPr="003A5653">
        <w:t>every year through increased productivity and spending,</w:t>
      </w:r>
      <w:r w:rsidRPr="003A5653">
        <w:rPr>
          <w:rStyle w:val="FootnoteReference"/>
        </w:rPr>
        <w:footnoteReference w:id="34"/>
      </w:r>
      <w:r w:rsidRPr="003A5653">
        <w:t xml:space="preserve"> which equates to a more than 4 percent increase in annual GDP</w:t>
      </w:r>
      <w:r>
        <w:t>.</w:t>
      </w:r>
    </w:p>
    <w:p w14:paraId="5DE91D02" w14:textId="77777777" w:rsidR="005847DF" w:rsidRDefault="005847DF" w:rsidP="005847DF">
      <w:r w:rsidRPr="005A5E7A">
        <w:t xml:space="preserve">The reduction in economic productivity caused by </w:t>
      </w:r>
      <w:r>
        <w:t xml:space="preserve">income </w:t>
      </w:r>
      <w:r w:rsidRPr="005A5E7A">
        <w:t>inequality and racial disparity directly reduces returns on diversified portfolios,</w:t>
      </w:r>
      <w:r w:rsidRPr="005A5E7A">
        <w:rPr>
          <w:vertAlign w:val="superscript"/>
        </w:rPr>
        <w:footnoteReference w:id="35"/>
      </w:r>
      <w:r w:rsidRPr="005A5E7A">
        <w:t xml:space="preserve"> and creates serious social costs that further threaten financial markets. For example, excessive inequality can erode social cohesion and heighten political polarization, leading to social instability.</w:t>
      </w:r>
      <w:r w:rsidRPr="005A5E7A">
        <w:rPr>
          <w:vertAlign w:val="superscript"/>
        </w:rPr>
        <w:footnoteReference w:id="36"/>
      </w:r>
      <w:r w:rsidRPr="005A5E7A">
        <w:t xml:space="preserve"> </w:t>
      </w:r>
    </w:p>
    <w:p w14:paraId="530ABD0D" w14:textId="77777777" w:rsidR="005847DF" w:rsidRPr="005A5E7A" w:rsidRDefault="005847DF" w:rsidP="005847DF">
      <w:r>
        <w:t>Excessive inequality</w:t>
      </w:r>
      <w:r w:rsidRPr="005A5E7A">
        <w:t xml:space="preserve"> is also a social determinant of health </w:t>
      </w:r>
      <w:r w:rsidRPr="003A5653">
        <w:t>that is linked to more chronic health conditions developed earlier in life, thereby increasing health costs and decreasing the value of human capital.</w:t>
      </w:r>
      <w:r w:rsidRPr="003A5653">
        <w:rPr>
          <w:rStyle w:val="FootnoteReference"/>
        </w:rPr>
        <w:footnoteReference w:id="37"/>
      </w:r>
      <w:r>
        <w:t xml:space="preserve"> A recent study</w:t>
      </w:r>
      <w:r w:rsidRPr="003A5653">
        <w:t xml:space="preserve"> found that “a sustained history of low-wage earning in midlife was associated with significantly earlier and excess mortality, especially for workers whose low-wage earning was experienced in the context of employment instability.”</w:t>
      </w:r>
      <w:r w:rsidRPr="003A5653">
        <w:rPr>
          <w:rStyle w:val="FootnoteReference"/>
        </w:rPr>
        <w:footnoteReference w:id="38"/>
      </w:r>
      <w:r w:rsidRPr="003A5653">
        <w:t xml:space="preserve"> Early and excess mortality, in turn, has its own economic costs. </w:t>
      </w:r>
      <w:r>
        <w:t>Researchers</w:t>
      </w:r>
      <w:r w:rsidRPr="003A5653">
        <w:t xml:space="preserve"> calculated a potential economic output loss of up to 2.6 percent of GDP by 2030 in low-income countries and 0.9 percent in upper-middle-income countries</w:t>
      </w:r>
      <w:r>
        <w:t xml:space="preserve"> from early and excess mortality</w:t>
      </w:r>
      <w:r w:rsidRPr="000754C1">
        <w:t>.</w:t>
      </w:r>
      <w:r w:rsidRPr="003A5653">
        <w:rPr>
          <w:rStyle w:val="FootnoteReference"/>
        </w:rPr>
        <w:footnoteReference w:id="39"/>
      </w:r>
    </w:p>
    <w:p w14:paraId="5E038811" w14:textId="77777777" w:rsidR="005847DF" w:rsidRDefault="005847DF" w:rsidP="005847DF">
      <w:r w:rsidRPr="005A5E7A">
        <w:t>A U.S. Government Accountability Office report</w:t>
      </w:r>
      <w:r w:rsidRPr="005A5E7A">
        <w:rPr>
          <w:rStyle w:val="FootnoteReference"/>
        </w:rPr>
        <w:footnoteReference w:id="40"/>
      </w:r>
      <w:r w:rsidRPr="005A5E7A">
        <w:t xml:space="preserve"> revealed how </w:t>
      </w:r>
      <w:proofErr w:type="gramStart"/>
      <w:r w:rsidRPr="005A5E7A">
        <w:t>taxpayers</w:t>
      </w:r>
      <w:proofErr w:type="gramEnd"/>
      <w:r w:rsidRPr="005A5E7A">
        <w:t xml:space="preserve"> foot the bill when corporations underpay their workers. Millions of full-time workers rely on federal health care and food assistance programs just to get by, and </w:t>
      </w:r>
      <w:r>
        <w:t>the wholesale and retail trade is in the top five industries with the highest concentration of working adults enrolled in Medicaid and SNAP</w:t>
      </w:r>
      <w:r w:rsidRPr="005A5E7A">
        <w:t>.</w:t>
      </w:r>
      <w:r w:rsidRPr="005A5E7A">
        <w:rPr>
          <w:rStyle w:val="FootnoteReference"/>
        </w:rPr>
        <w:footnoteReference w:id="41"/>
      </w:r>
      <w:r w:rsidRPr="005A5E7A">
        <w:t xml:space="preserve"> This, of course, is a form of corporate </w:t>
      </w:r>
      <w:r w:rsidRPr="005A5E7A">
        <w:lastRenderedPageBreak/>
        <w:t>welfare, in that taxpayers—and, by extension, shareholders—are subsidizing employers who pay low wages.</w:t>
      </w:r>
    </w:p>
    <w:p w14:paraId="4887E70A" w14:textId="77777777" w:rsidR="005847DF" w:rsidRPr="005A5E7A" w:rsidRDefault="005847DF" w:rsidP="005847DF">
      <w:r>
        <w:t xml:space="preserve">For a full survey of the empirical evidence for the economic damage arising from poverty wages and income inequality, see The Shareholder Commons, “Living Wage &amp; the Engagement Gap: Using a Systems Lens to Build Portfolio Value through Improved Wages,” November, 2023, </w:t>
      </w:r>
      <w:hyperlink r:id="rId11" w:history="1">
        <w:r w:rsidRPr="008F70B7">
          <w:rPr>
            <w:rStyle w:val="Hyperlink"/>
          </w:rPr>
          <w:t>https://theshareholdercommons.com/case-studies/labor-and-inequality-case-study/</w:t>
        </w:r>
      </w:hyperlink>
      <w:r>
        <w:t>.</w:t>
      </w:r>
    </w:p>
    <w:p w14:paraId="3B09C655" w14:textId="7421E67F" w:rsidR="004B6714" w:rsidRPr="00C467E9" w:rsidRDefault="004B6714" w:rsidP="00FF74AC">
      <w:r w:rsidRPr="00C467E9">
        <w:t xml:space="preserve">The acts of individual companies affect whether the economy will bear these costs: if they increase their own bottom line by </w:t>
      </w:r>
      <w:r w:rsidR="00C23F36" w:rsidRPr="00C467E9">
        <w:t>underpaying workers</w:t>
      </w:r>
      <w:r w:rsidRPr="00C467E9">
        <w:t xml:space="preserve">, the profits earned </w:t>
      </w:r>
      <w:proofErr w:type="gramStart"/>
      <w:r w:rsidRPr="00C467E9">
        <w:t>for</w:t>
      </w:r>
      <w:proofErr w:type="gramEnd"/>
      <w:r w:rsidR="00C12764" w:rsidRPr="00C467E9">
        <w:t xml:space="preserve"> and capital returned to</w:t>
      </w:r>
      <w:r w:rsidRPr="00C467E9">
        <w:t xml:space="preserve"> their shareholders may be inconsequential in comparison to the added costs the economy bears. </w:t>
      </w:r>
    </w:p>
    <w:p w14:paraId="0960A38D" w14:textId="77777777" w:rsidR="00854289" w:rsidRPr="00DA36E6" w:rsidRDefault="00854289" w:rsidP="00854289">
      <w:r w:rsidRPr="00DA36E6">
        <w:t>Economists have long recognized that profit-seeking firms will not account for costs they impose on others, and there are many profitable strategies that harm shareholders, society, and the environment.</w:t>
      </w:r>
      <w:r w:rsidRPr="00DA36E6">
        <w:rPr>
          <w:vertAlign w:val="superscript"/>
        </w:rPr>
        <w:footnoteReference w:id="42"/>
      </w:r>
      <w:r w:rsidRPr="00DA36E6">
        <w:t xml:space="preserve"> Indeed, in 2018, publicly listed companies around the world imposed social and environmental costs on the economy with a value of $2.2 trillion annually—more than 2.5 percent of global GDP.</w:t>
      </w:r>
      <w:bookmarkStart w:id="8" w:name="_Ref97237578"/>
      <w:r w:rsidRPr="00DA36E6">
        <w:rPr>
          <w:vertAlign w:val="superscript"/>
        </w:rPr>
        <w:footnoteReference w:id="43"/>
      </w:r>
      <w:bookmarkEnd w:id="8"/>
      <w:r w:rsidRPr="00DA36E6">
        <w:rPr>
          <w:vertAlign w:val="superscript"/>
        </w:rPr>
        <w:t xml:space="preserve"> </w:t>
      </w:r>
      <w:r w:rsidRPr="00DA36E6">
        <w:t xml:space="preserve"> This cost was more than 50 percent of the profits those companies reported.</w:t>
      </w:r>
    </w:p>
    <w:p w14:paraId="5B6F00E8" w14:textId="2A24E532" w:rsidR="00854289" w:rsidRPr="00DA36E6" w:rsidRDefault="00854289" w:rsidP="00854289">
      <w:r w:rsidRPr="00DA36E6">
        <w:t xml:space="preserve">As shown below in Figure 1, </w:t>
      </w:r>
      <w:r w:rsidR="00764173">
        <w:t>Walmart’s</w:t>
      </w:r>
      <w:r w:rsidRPr="00DA36E6">
        <w:t xml:space="preserve"> choices that contribute to </w:t>
      </w:r>
      <w:r w:rsidR="00172787">
        <w:t>a financially insecure labor force</w:t>
      </w:r>
      <w:r w:rsidRPr="00DA36E6">
        <w:t xml:space="preserve"> threaten its diversified shareholders’ financial returns, even if those decisions might benefit </w:t>
      </w:r>
      <w:r w:rsidR="007D6CBC">
        <w:t>Walmart</w:t>
      </w:r>
      <w:r w:rsidRPr="00DA36E6">
        <w:t xml:space="preserve"> financially. </w:t>
      </w:r>
    </w:p>
    <w:p w14:paraId="4C82B652" w14:textId="77777777" w:rsidR="00854289" w:rsidRPr="00DA36E6" w:rsidRDefault="00854289" w:rsidP="00854289">
      <w:r>
        <w:rPr>
          <w:noProof/>
        </w:rPr>
        <w:drawing>
          <wp:inline distT="0" distB="0" distL="0" distR="0" wp14:anchorId="0E1830E7" wp14:editId="5118BBB3">
            <wp:extent cx="5942736" cy="2230734"/>
            <wp:effectExtent l="0" t="0" r="1270" b="5080"/>
            <wp:docPr id="85136631" name="Picture 1" descr="A diagram of a market impa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631" name="Picture 1" descr="A diagram of a market impact&#10;&#10;Description automatically generated"/>
                    <pic:cNvPicPr/>
                  </pic:nvPicPr>
                  <pic:blipFill rotWithShape="1">
                    <a:blip r:embed="rId12">
                      <a:extLst>
                        <a:ext uri="{28A0092B-C50C-407E-A947-70E740481C1C}">
                          <a14:useLocalDpi xmlns:a14="http://schemas.microsoft.com/office/drawing/2010/main" val="0"/>
                        </a:ext>
                      </a:extLst>
                    </a:blip>
                    <a:srcRect t="23669" b="26282"/>
                    <a:stretch/>
                  </pic:blipFill>
                  <pic:spPr bwMode="auto">
                    <a:xfrm>
                      <a:off x="0" y="0"/>
                      <a:ext cx="5943600" cy="2231058"/>
                    </a:xfrm>
                    <a:prstGeom prst="rect">
                      <a:avLst/>
                    </a:prstGeom>
                    <a:ln>
                      <a:noFill/>
                    </a:ln>
                    <a:extLst>
                      <a:ext uri="{53640926-AAD7-44D8-BBD7-CCE9431645EC}">
                        <a14:shadowObscured xmlns:a14="http://schemas.microsoft.com/office/drawing/2010/main"/>
                      </a:ext>
                    </a:extLst>
                  </pic:spPr>
                </pic:pic>
              </a:graphicData>
            </a:graphic>
          </wp:inline>
        </w:drawing>
      </w:r>
    </w:p>
    <w:p w14:paraId="4D995329" w14:textId="77777777" w:rsidR="00854289" w:rsidRPr="00DA36E6" w:rsidRDefault="00854289" w:rsidP="00854289">
      <w:pPr>
        <w:pStyle w:val="Caption"/>
        <w:jc w:val="center"/>
        <w:rPr>
          <w:b/>
        </w:rPr>
      </w:pPr>
      <w:r w:rsidRPr="00DA36E6">
        <w:t xml:space="preserve">Figure </w:t>
      </w:r>
      <w:r>
        <w:fldChar w:fldCharType="begin"/>
      </w:r>
      <w:r>
        <w:instrText>SEQ Figure \* ARABIC</w:instrText>
      </w:r>
      <w:r>
        <w:fldChar w:fldCharType="separate"/>
      </w:r>
      <w:r w:rsidRPr="00DA36E6">
        <w:t>1</w:t>
      </w:r>
      <w:r>
        <w:fldChar w:fldCharType="end"/>
      </w:r>
    </w:p>
    <w:p w14:paraId="4B768E0C" w14:textId="77777777" w:rsidR="00F8605E" w:rsidRDefault="00C23F36" w:rsidP="00F8605E">
      <w:r w:rsidRPr="00C467E9">
        <w:lastRenderedPageBreak/>
        <w:t>Walmart’s</w:t>
      </w:r>
      <w:r w:rsidR="00045005" w:rsidRPr="00C467E9">
        <w:t xml:space="preserve"> disclosures </w:t>
      </w:r>
      <w:r w:rsidR="002B76D0" w:rsidRPr="00C467E9">
        <w:t>demonstrate</w:t>
      </w:r>
      <w:r w:rsidR="00045005" w:rsidRPr="00C467E9">
        <w:t xml:space="preserve"> that its </w:t>
      </w:r>
      <w:r w:rsidRPr="00C467E9">
        <w:t>compensation</w:t>
      </w:r>
      <w:r w:rsidR="00377F48" w:rsidRPr="00C467E9">
        <w:t xml:space="preserve"> </w:t>
      </w:r>
      <w:r w:rsidR="00045005" w:rsidRPr="00C467E9">
        <w:t xml:space="preserve">strategy </w:t>
      </w:r>
      <w:r w:rsidR="00143166" w:rsidRPr="00C467E9">
        <w:t>simply fails</w:t>
      </w:r>
      <w:r w:rsidR="00377F48" w:rsidRPr="00C467E9">
        <w:t xml:space="preserve"> to </w:t>
      </w:r>
      <w:r w:rsidR="009055A5" w:rsidRPr="00C467E9">
        <w:t xml:space="preserve">address </w:t>
      </w:r>
      <w:r w:rsidR="00DA160C" w:rsidRPr="00C467E9">
        <w:t xml:space="preserve">the economic costs of </w:t>
      </w:r>
      <w:r w:rsidR="009337FB" w:rsidRPr="00C467E9">
        <w:t>poverty wages and income inequality</w:t>
      </w:r>
      <w:r w:rsidR="00045005" w:rsidRPr="00C467E9">
        <w:t xml:space="preserve">. </w:t>
      </w:r>
    </w:p>
    <w:p w14:paraId="7CDDE9CE" w14:textId="77777777" w:rsidR="001D35D3" w:rsidRPr="00DA36E6" w:rsidRDefault="001D35D3" w:rsidP="0045345A">
      <w:pPr>
        <w:pStyle w:val="Heading1"/>
      </w:pPr>
      <w:r w:rsidRPr="00DA36E6">
        <w:t>Why you should vote “</w:t>
      </w:r>
      <w:r>
        <w:t>AGAINST</w:t>
      </w:r>
      <w:r w:rsidRPr="00DA36E6">
        <w:t xml:space="preserve">” the </w:t>
      </w:r>
      <w:r>
        <w:t>Board Chair</w:t>
      </w:r>
    </w:p>
    <w:p w14:paraId="3A25CC43" w14:textId="69BAD21B" w:rsidR="00EA6F17" w:rsidRPr="00C467E9" w:rsidRDefault="00EA6F17" w:rsidP="00EA6F17">
      <w:pPr>
        <w:rPr>
          <w:b/>
          <w:bCs/>
          <w:iCs/>
        </w:rPr>
      </w:pPr>
      <w:r w:rsidRPr="00C467E9">
        <w:rPr>
          <w:b/>
          <w:bCs/>
          <w:iCs/>
        </w:rPr>
        <w:t>Voting “</w:t>
      </w:r>
      <w:r w:rsidR="001D35D3">
        <w:rPr>
          <w:b/>
          <w:bCs/>
          <w:iCs/>
        </w:rPr>
        <w:t>AGAINST</w:t>
      </w:r>
      <w:r w:rsidRPr="00C467E9">
        <w:rPr>
          <w:b/>
          <w:bCs/>
          <w:iCs/>
        </w:rPr>
        <w:t xml:space="preserve">” the </w:t>
      </w:r>
      <w:r w:rsidR="001D35D3">
        <w:rPr>
          <w:b/>
          <w:bCs/>
          <w:iCs/>
        </w:rPr>
        <w:t>Board Chair</w:t>
      </w:r>
      <w:r w:rsidRPr="00C467E9">
        <w:rPr>
          <w:b/>
          <w:bCs/>
          <w:iCs/>
        </w:rPr>
        <w:t xml:space="preserve"> will signal to </w:t>
      </w:r>
      <w:r w:rsidR="009337FB" w:rsidRPr="00C467E9">
        <w:rPr>
          <w:b/>
          <w:bCs/>
          <w:iCs/>
        </w:rPr>
        <w:t>Walmart</w:t>
      </w:r>
      <w:r w:rsidRPr="00C467E9">
        <w:rPr>
          <w:b/>
          <w:bCs/>
          <w:iCs/>
        </w:rPr>
        <w:t xml:space="preserve"> that shareholders want </w:t>
      </w:r>
      <w:r w:rsidR="00625FE0" w:rsidRPr="00C467E9">
        <w:rPr>
          <w:b/>
          <w:bCs/>
          <w:iCs/>
        </w:rPr>
        <w:t xml:space="preserve">the Company </w:t>
      </w:r>
      <w:r w:rsidR="00C4393C" w:rsidRPr="00C467E9">
        <w:rPr>
          <w:b/>
          <w:bCs/>
          <w:iCs/>
        </w:rPr>
        <w:t>not to put</w:t>
      </w:r>
      <w:r w:rsidRPr="00C467E9">
        <w:rPr>
          <w:b/>
          <w:bCs/>
          <w:iCs/>
        </w:rPr>
        <w:t xml:space="preserve"> </w:t>
      </w:r>
      <w:r w:rsidR="00812CD2" w:rsidRPr="00C467E9">
        <w:rPr>
          <w:b/>
          <w:bCs/>
          <w:iCs/>
        </w:rPr>
        <w:t>the economy</w:t>
      </w:r>
      <w:r w:rsidRPr="00C467E9">
        <w:rPr>
          <w:b/>
          <w:bCs/>
          <w:iCs/>
        </w:rPr>
        <w:t xml:space="preserve"> (and thus their diversified portfolios) at risk. </w:t>
      </w:r>
    </w:p>
    <w:p w14:paraId="5719EEA5" w14:textId="77777777" w:rsidR="00EA6F17" w:rsidRPr="00C467E9" w:rsidRDefault="00EA6F17" w:rsidP="00EA6F17">
      <w:pPr>
        <w:rPr>
          <w:b/>
          <w:bCs/>
          <w:iCs/>
        </w:rPr>
      </w:pPr>
      <w:r w:rsidRPr="00C467E9">
        <w:rPr>
          <w:b/>
          <w:bCs/>
          <w:iCs/>
        </w:rPr>
        <w:t>Additionally:</w:t>
      </w:r>
    </w:p>
    <w:p w14:paraId="18E514A6" w14:textId="07898734" w:rsidR="00EA6F17" w:rsidRPr="00C467E9" w:rsidRDefault="00812CD2" w:rsidP="009510CB">
      <w:pPr>
        <w:numPr>
          <w:ilvl w:val="0"/>
          <w:numId w:val="1"/>
        </w:numPr>
        <w:spacing w:line="276" w:lineRule="auto"/>
        <w:rPr>
          <w:b/>
          <w:bCs/>
          <w:iCs/>
        </w:rPr>
      </w:pPr>
      <w:r w:rsidRPr="00C467E9">
        <w:rPr>
          <w:iCs/>
        </w:rPr>
        <w:t>Walmart underpays its workers</w:t>
      </w:r>
      <w:r w:rsidR="00EA6F17" w:rsidRPr="00C467E9">
        <w:rPr>
          <w:iCs/>
        </w:rPr>
        <w:t>, which create</w:t>
      </w:r>
      <w:r w:rsidR="00212D8A" w:rsidRPr="00C467E9">
        <w:rPr>
          <w:iCs/>
        </w:rPr>
        <w:t>s</w:t>
      </w:r>
      <w:r w:rsidR="00EA6F17" w:rsidRPr="00C467E9">
        <w:rPr>
          <w:iCs/>
        </w:rPr>
        <w:t xml:space="preserve"> an economy-wide risk that</w:t>
      </w:r>
      <w:r w:rsidR="00EA6F17" w:rsidRPr="00C467E9">
        <w:rPr>
          <w:b/>
          <w:bCs/>
          <w:iCs/>
        </w:rPr>
        <w:t xml:space="preserve"> </w:t>
      </w:r>
      <w:r w:rsidR="00EA6F17" w:rsidRPr="00C467E9">
        <w:rPr>
          <w:b/>
          <w:bCs/>
          <w:iCs/>
          <w:u w:val="single"/>
        </w:rPr>
        <w:t>poses a threat to diversified shareholders</w:t>
      </w:r>
      <w:r w:rsidR="00EA6F17" w:rsidRPr="00C467E9">
        <w:rPr>
          <w:b/>
          <w:bCs/>
          <w:iCs/>
        </w:rPr>
        <w:t>.</w:t>
      </w:r>
    </w:p>
    <w:p w14:paraId="2755DC94" w14:textId="6CF603A5" w:rsidR="00EA6F17" w:rsidRPr="00C467E9" w:rsidRDefault="00F52456" w:rsidP="009510CB">
      <w:pPr>
        <w:numPr>
          <w:ilvl w:val="0"/>
          <w:numId w:val="1"/>
        </w:numPr>
        <w:spacing w:line="276" w:lineRule="auto"/>
        <w:rPr>
          <w:b/>
          <w:bCs/>
          <w:iCs/>
        </w:rPr>
      </w:pPr>
      <w:r w:rsidRPr="00C467E9">
        <w:rPr>
          <w:iCs/>
        </w:rPr>
        <w:t>Walmart’s</w:t>
      </w:r>
      <w:r w:rsidR="00EA6F17" w:rsidRPr="00C467E9">
        <w:rPr>
          <w:iCs/>
        </w:rPr>
        <w:t xml:space="preserve"> disclosures show it is </w:t>
      </w:r>
      <w:r w:rsidR="00EA6F17" w:rsidRPr="00C467E9">
        <w:rPr>
          <w:b/>
          <w:bCs/>
          <w:iCs/>
          <w:u w:val="single"/>
        </w:rPr>
        <w:t xml:space="preserve">not taking the actions that are required of corporations </w:t>
      </w:r>
      <w:r w:rsidR="007255E3" w:rsidRPr="00C467E9">
        <w:rPr>
          <w:b/>
          <w:bCs/>
          <w:iCs/>
          <w:u w:val="single"/>
        </w:rPr>
        <w:t>seeking to end practices that externalize costs</w:t>
      </w:r>
      <w:r w:rsidR="000A5CB9" w:rsidRPr="00C467E9">
        <w:rPr>
          <w:b/>
          <w:bCs/>
          <w:iCs/>
          <w:u w:val="single"/>
        </w:rPr>
        <w:t xml:space="preserve"> onto the broader economy and diversified shareholders</w:t>
      </w:r>
      <w:r w:rsidR="00EA6F17" w:rsidRPr="00C467E9">
        <w:rPr>
          <w:iCs/>
        </w:rPr>
        <w:t xml:space="preserve">. </w:t>
      </w:r>
    </w:p>
    <w:p w14:paraId="23FBDD0E" w14:textId="4ED812CC" w:rsidR="00EA6F17" w:rsidRPr="00C467E9" w:rsidRDefault="000A5CB9" w:rsidP="009510CB">
      <w:pPr>
        <w:numPr>
          <w:ilvl w:val="0"/>
          <w:numId w:val="1"/>
        </w:numPr>
        <w:spacing w:line="276" w:lineRule="auto"/>
        <w:rPr>
          <w:iCs/>
        </w:rPr>
      </w:pPr>
      <w:r w:rsidRPr="00C467E9">
        <w:rPr>
          <w:iCs/>
        </w:rPr>
        <w:t>Walmart’s</w:t>
      </w:r>
      <w:r w:rsidR="00EA6F17" w:rsidRPr="00C467E9">
        <w:rPr>
          <w:iCs/>
        </w:rPr>
        <w:t xml:space="preserve"> decision-makers—who are heavily compensated in equity—</w:t>
      </w:r>
      <w:r w:rsidR="00EA6F17" w:rsidRPr="00C467E9">
        <w:rPr>
          <w:b/>
          <w:bCs/>
          <w:iCs/>
          <w:u w:val="single"/>
        </w:rPr>
        <w:t>do not share the same broad market risk</w:t>
      </w:r>
      <w:r w:rsidR="00EA6F17" w:rsidRPr="00C467E9">
        <w:rPr>
          <w:iCs/>
        </w:rPr>
        <w:t xml:space="preserve"> as </w:t>
      </w:r>
      <w:r w:rsidRPr="00C467E9">
        <w:rPr>
          <w:iCs/>
        </w:rPr>
        <w:t>Walmart’s</w:t>
      </w:r>
      <w:r w:rsidR="00EA6F17" w:rsidRPr="00C467E9">
        <w:rPr>
          <w:iCs/>
        </w:rPr>
        <w:t xml:space="preserve"> diversified shareholders.</w:t>
      </w:r>
    </w:p>
    <w:p w14:paraId="51297AFD" w14:textId="6A77C052" w:rsidR="00CC44B5" w:rsidRPr="00C467E9" w:rsidRDefault="0044075E" w:rsidP="00582A7E">
      <w:pPr>
        <w:pStyle w:val="Heading1"/>
      </w:pPr>
      <w:r w:rsidRPr="00C467E9">
        <w:t>Conclusion</w:t>
      </w:r>
    </w:p>
    <w:p w14:paraId="0F19F551" w14:textId="2B7AE6DA" w:rsidR="0044075E" w:rsidRPr="00C467E9" w:rsidRDefault="00F3070B" w:rsidP="00FF74AC">
      <w:r w:rsidRPr="00C467E9">
        <w:t xml:space="preserve">Please vote </w:t>
      </w:r>
      <w:r w:rsidR="00DC69F0" w:rsidRPr="00C467E9">
        <w:rPr>
          <w:b/>
          <w:bCs/>
        </w:rPr>
        <w:t>“</w:t>
      </w:r>
      <w:r w:rsidR="0045345A">
        <w:rPr>
          <w:b/>
          <w:bCs/>
        </w:rPr>
        <w:t>AGAINST</w:t>
      </w:r>
      <w:r w:rsidR="00DC69F0" w:rsidRPr="00C467E9">
        <w:rPr>
          <w:b/>
          <w:bCs/>
        </w:rPr>
        <w:t>”</w:t>
      </w:r>
      <w:r w:rsidRPr="00C467E9">
        <w:t xml:space="preserve"> </w:t>
      </w:r>
      <w:r w:rsidR="00A06BD4">
        <w:t xml:space="preserve">Gregory B. Penner, </w:t>
      </w:r>
      <w:r w:rsidR="00A83A53">
        <w:t>Item 1j</w:t>
      </w:r>
      <w:r w:rsidR="00A0779E">
        <w:t>.</w:t>
      </w:r>
    </w:p>
    <w:p w14:paraId="5C4979FF" w14:textId="2DCA70F1" w:rsidR="003449BF" w:rsidRPr="00C467E9" w:rsidRDefault="00F855F2" w:rsidP="00FF74AC">
      <w:r w:rsidRPr="00C467E9">
        <w:t xml:space="preserve">By voting </w:t>
      </w:r>
      <w:r w:rsidR="009516EE" w:rsidRPr="00C467E9">
        <w:rPr>
          <w:b/>
          <w:bCs/>
        </w:rPr>
        <w:t>“</w:t>
      </w:r>
      <w:r w:rsidR="00A83A53">
        <w:rPr>
          <w:b/>
          <w:bCs/>
        </w:rPr>
        <w:t>AGAINST</w:t>
      </w:r>
      <w:r w:rsidR="009516EE" w:rsidRPr="00C467E9">
        <w:rPr>
          <w:b/>
          <w:bCs/>
        </w:rPr>
        <w:t>”</w:t>
      </w:r>
      <w:r w:rsidRPr="00C467E9">
        <w:t xml:space="preserve"> </w:t>
      </w:r>
      <w:r w:rsidR="00C42D9F" w:rsidRPr="00C467E9">
        <w:t>Item</w:t>
      </w:r>
      <w:r w:rsidRPr="00C467E9">
        <w:t xml:space="preserve"> </w:t>
      </w:r>
      <w:r w:rsidR="00A83A53">
        <w:t>1j</w:t>
      </w:r>
      <w:r w:rsidRPr="00C467E9">
        <w:t xml:space="preserve">, shareholders can urge </w:t>
      </w:r>
      <w:r w:rsidR="000A5CB9" w:rsidRPr="00C467E9">
        <w:t>Walmart</w:t>
      </w:r>
      <w:r w:rsidR="000F73B0" w:rsidRPr="00C467E9">
        <w:t xml:space="preserve"> </w:t>
      </w:r>
      <w:r w:rsidRPr="00C467E9">
        <w:t>t</w:t>
      </w:r>
      <w:r w:rsidR="00600F1D" w:rsidRPr="00C467E9">
        <w:t xml:space="preserve">o </w:t>
      </w:r>
      <w:r w:rsidR="555FE465" w:rsidRPr="00C467E9">
        <w:t xml:space="preserve">account </w:t>
      </w:r>
      <w:r w:rsidR="000750D0" w:rsidRPr="00C467E9">
        <w:t xml:space="preserve">directly </w:t>
      </w:r>
      <w:r w:rsidR="00CA25AD" w:rsidRPr="00C467E9">
        <w:t xml:space="preserve">for its </w:t>
      </w:r>
      <w:r w:rsidR="000A5CB9" w:rsidRPr="00C467E9">
        <w:t xml:space="preserve">poverty wages </w:t>
      </w:r>
      <w:r w:rsidR="00CA25AD" w:rsidRPr="00C467E9">
        <w:t xml:space="preserve">and the resulting costs to society, which in turn affect the economic health upon which diversified portfolios depend. </w:t>
      </w:r>
      <w:r w:rsidR="00F61D2A" w:rsidRPr="00C467E9">
        <w:t>Paying a living wage</w:t>
      </w:r>
      <w:r w:rsidR="00CA25AD" w:rsidRPr="00C467E9">
        <w:t xml:space="preserve"> can aid the Board and management in authentically serving the needs of </w:t>
      </w:r>
      <w:r w:rsidR="00F61D2A" w:rsidRPr="00C467E9">
        <w:t>Walmart’s</w:t>
      </w:r>
      <w:r w:rsidR="00CA25AD" w:rsidRPr="00C467E9">
        <w:t xml:space="preserve"> diversified shareholders and in preventing the dangerous implications—to diversified shareholders and others—of a narrow focus on internal financial return.</w:t>
      </w:r>
    </w:p>
    <w:p w14:paraId="1EC82069" w14:textId="155F9F9B" w:rsidR="00D0253F" w:rsidRPr="00C467E9" w:rsidRDefault="00FC681E" w:rsidP="00FF74AC">
      <w:r w:rsidRPr="00C467E9">
        <w:t>The Shareholder Commons</w:t>
      </w:r>
      <w:r w:rsidR="00333D2E" w:rsidRPr="00C467E9">
        <w:t xml:space="preserve"> urges you to vote </w:t>
      </w:r>
      <w:r w:rsidR="00373E20" w:rsidRPr="00C467E9">
        <w:rPr>
          <w:b/>
          <w:bCs/>
        </w:rPr>
        <w:t>“</w:t>
      </w:r>
      <w:r w:rsidR="00A73499">
        <w:rPr>
          <w:b/>
          <w:bCs/>
        </w:rPr>
        <w:t>AGAINST</w:t>
      </w:r>
      <w:r w:rsidR="00373E20" w:rsidRPr="00C467E9">
        <w:rPr>
          <w:b/>
          <w:bCs/>
        </w:rPr>
        <w:t>”</w:t>
      </w:r>
      <w:r w:rsidR="00333D2E" w:rsidRPr="00C467E9">
        <w:t xml:space="preserve"> </w:t>
      </w:r>
      <w:r w:rsidR="008C3055">
        <w:t>Gregory B. Penner, Board Chair (</w:t>
      </w:r>
      <w:r w:rsidR="00FD3162" w:rsidRPr="00C467E9">
        <w:t>Item</w:t>
      </w:r>
      <w:r w:rsidR="00692C17" w:rsidRPr="00C467E9">
        <w:t xml:space="preserve"> </w:t>
      </w:r>
      <w:r w:rsidR="00A73499">
        <w:t>1j</w:t>
      </w:r>
      <w:r w:rsidR="00333D2E" w:rsidRPr="00C467E9">
        <w:t xml:space="preserve"> on the proxy</w:t>
      </w:r>
      <w:r w:rsidR="008C3055">
        <w:t>)</w:t>
      </w:r>
      <w:r w:rsidR="00333D2E" w:rsidRPr="00C467E9">
        <w:t xml:space="preserve">, </w:t>
      </w:r>
      <w:r w:rsidR="00386C78">
        <w:t>over Walmart’s failure to protect its diversified shareholders’ portfolios by paying</w:t>
      </w:r>
      <w:r w:rsidR="009A45E2" w:rsidRPr="00C467E9">
        <w:t xml:space="preserve"> a living wage</w:t>
      </w:r>
      <w:r w:rsidR="00386C78">
        <w:t>,</w:t>
      </w:r>
      <w:r w:rsidR="007A47C2" w:rsidRPr="00C467E9">
        <w:t xml:space="preserve"> </w:t>
      </w:r>
      <w:r w:rsidR="00333D2E" w:rsidRPr="00C467E9">
        <w:t xml:space="preserve">at the </w:t>
      </w:r>
      <w:r w:rsidR="009A45E2" w:rsidRPr="00C467E9">
        <w:t>Walmart</w:t>
      </w:r>
      <w:r w:rsidR="00A11CF8" w:rsidRPr="00C467E9">
        <w:t xml:space="preserve"> Inc.</w:t>
      </w:r>
      <w:r w:rsidR="002F7A1F" w:rsidRPr="00C467E9">
        <w:t xml:space="preserve"> </w:t>
      </w:r>
      <w:r w:rsidR="00333D2E" w:rsidRPr="00C467E9">
        <w:t>Annual Meeting on</w:t>
      </w:r>
      <w:r w:rsidR="00692C17" w:rsidRPr="00C467E9">
        <w:t xml:space="preserve"> </w:t>
      </w:r>
      <w:r w:rsidR="00EA2423" w:rsidRPr="00C467E9">
        <w:t>June 5</w:t>
      </w:r>
      <w:r w:rsidR="006E2D54" w:rsidRPr="00C467E9">
        <w:t>, 202</w:t>
      </w:r>
      <w:r w:rsidR="00234E29">
        <w:t>5</w:t>
      </w:r>
      <w:r w:rsidR="00333D2E" w:rsidRPr="00C467E9">
        <w:t>.</w:t>
      </w:r>
      <w:r w:rsidR="000952AD" w:rsidRPr="00C467E9">
        <w:t> </w:t>
      </w:r>
    </w:p>
    <w:p w14:paraId="18813684" w14:textId="77777777" w:rsidR="008B5381" w:rsidRPr="00F23A8A" w:rsidRDefault="008B5381" w:rsidP="008B5381">
      <w:pPr>
        <w:rPr>
          <w:i/>
          <w:iCs/>
          <w:sz w:val="24"/>
          <w:szCs w:val="24"/>
        </w:rPr>
      </w:pPr>
      <w:r w:rsidRPr="00F23A8A">
        <w:rPr>
          <w:i/>
          <w:iCs/>
        </w:rPr>
        <w:t>For questions regarding</w:t>
      </w:r>
      <w:r>
        <w:rPr>
          <w:i/>
          <w:iCs/>
        </w:rPr>
        <w:t xml:space="preserve"> this exempt solicitation</w:t>
      </w:r>
      <w:r w:rsidRPr="00F23A8A">
        <w:rPr>
          <w:i/>
          <w:iCs/>
        </w:rPr>
        <w:t>, please contact Sara E. Murphy</w:t>
      </w:r>
      <w:r>
        <w:rPr>
          <w:i/>
          <w:iCs/>
        </w:rPr>
        <w:t xml:space="preserve"> of</w:t>
      </w:r>
      <w:r w:rsidRPr="00F23A8A">
        <w:rPr>
          <w:i/>
          <w:iCs/>
          <w:sz w:val="24"/>
          <w:szCs w:val="24"/>
        </w:rPr>
        <w:t xml:space="preserve"> The Shareholder Commons at +1.202.578.0261 or via email at sara@theshareholdercommons.com. </w:t>
      </w:r>
    </w:p>
    <w:p w14:paraId="69A6DFB7" w14:textId="60E586A4" w:rsidR="000952AD" w:rsidRPr="00C467E9" w:rsidRDefault="000952AD" w:rsidP="00F36749">
      <w:pPr>
        <w:jc w:val="center"/>
        <w:rPr>
          <w:b/>
          <w:bCs/>
        </w:rPr>
      </w:pPr>
      <w:r w:rsidRPr="00C467E9">
        <w:rPr>
          <w:b/>
          <w:bCs/>
        </w:rPr>
        <w:t>THE FOREGOING INFORMATION MAY BE DISSEMINATED TO SHAREHOLDERS VIA TELEPHONE, U.S. MAIL, E-MAIL, CERTAIN WEBSITES, AND CERTAIN SOCIAL MEDIA VENUES, AND SHOULD NOT BE CONSTRUED AS INVESTMENT ADVICE OR AS A SOLICITATION OF AUTHORITY TO VOTE YOUR PROXY.</w:t>
      </w:r>
    </w:p>
    <w:p w14:paraId="529859D2" w14:textId="530B71A2" w:rsidR="00F04730" w:rsidRPr="00C467E9" w:rsidRDefault="000952AD" w:rsidP="00F36749">
      <w:pPr>
        <w:jc w:val="center"/>
        <w:rPr>
          <w:b/>
          <w:bCs/>
        </w:rPr>
      </w:pPr>
      <w:r w:rsidRPr="00C467E9">
        <w:rPr>
          <w:b/>
          <w:bCs/>
        </w:rPr>
        <w:t xml:space="preserve">PROXY CARDS WILL NOT BE ACCEPTED </w:t>
      </w:r>
      <w:r w:rsidR="00D0253F" w:rsidRPr="00C467E9">
        <w:rPr>
          <w:b/>
          <w:bCs/>
        </w:rPr>
        <w:t>BY THE SHAREHOLDER COMMONS</w:t>
      </w:r>
      <w:r w:rsidRPr="00C467E9">
        <w:rPr>
          <w:b/>
          <w:bCs/>
        </w:rPr>
        <w:t xml:space="preserve">. </w:t>
      </w:r>
      <w:r w:rsidRPr="00C467E9">
        <w:rPr>
          <w:b/>
          <w:bCs/>
        </w:rPr>
        <w:br/>
        <w:t>TO VOTE YOUR PROXY, PLEASE FOLLOW THE INSTRUCTIONS ON YOUR PROXY CARD.</w:t>
      </w:r>
    </w:p>
    <w:sectPr w:rsidR="00F04730" w:rsidRPr="00C467E9" w:rsidSect="00C95E0C">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7AC1" w14:textId="77777777" w:rsidR="00B52289" w:rsidRDefault="00B52289" w:rsidP="00FF74AC">
      <w:r>
        <w:separator/>
      </w:r>
    </w:p>
  </w:endnote>
  <w:endnote w:type="continuationSeparator" w:id="0">
    <w:p w14:paraId="2D142B35" w14:textId="77777777" w:rsidR="00B52289" w:rsidRDefault="00B52289" w:rsidP="00FF74AC">
      <w:r>
        <w:continuationSeparator/>
      </w:r>
    </w:p>
  </w:endnote>
  <w:endnote w:type="continuationNotice" w:id="1">
    <w:p w14:paraId="650A2FC0" w14:textId="77777777" w:rsidR="00B52289" w:rsidRDefault="00B52289" w:rsidP="00FF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Roboto">
    <w:altName w:val="﷽﷽﷽﷽﷽﷽﷽﷽8B}"/>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CenMT-Regular">
    <w:altName w:val="Tw Cen MT"/>
    <w:panose1 w:val="020B0604020202020204"/>
    <w:charset w:val="00"/>
    <w:family w:val="auto"/>
    <w:pitch w:val="default"/>
  </w:font>
  <w:font w:name="Times New Roman (Headings CS)">
    <w:altName w:val="Times New Roman"/>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F3E1" w14:textId="31F8BABF" w:rsidR="006047D0" w:rsidRDefault="006047D0" w:rsidP="00FF74A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9BE7602" w14:textId="77777777" w:rsidR="006047D0" w:rsidRDefault="006047D0" w:rsidP="00FF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7876105"/>
      <w:docPartObj>
        <w:docPartGallery w:val="Page Numbers (Bottom of Page)"/>
        <w:docPartUnique/>
      </w:docPartObj>
    </w:sdtPr>
    <w:sdtContent>
      <w:p w14:paraId="728B8487" w14:textId="0D90A0DF" w:rsidR="006047D0" w:rsidRDefault="006047D0" w:rsidP="009C409D">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D1C9A">
          <w:rPr>
            <w:rStyle w:val="PageNumber"/>
            <w:noProof/>
          </w:rPr>
          <w:t>6</w:t>
        </w:r>
        <w:r>
          <w:rPr>
            <w:rStyle w:val="PageNumber"/>
          </w:rPr>
          <w:fldChar w:fldCharType="end"/>
        </w:r>
      </w:p>
    </w:sdtContent>
  </w:sdt>
  <w:p w14:paraId="6DC63C69" w14:textId="77777777" w:rsidR="006047D0" w:rsidRDefault="006047D0" w:rsidP="00FF7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17EC" w14:textId="479354CC" w:rsidR="006047D0" w:rsidRPr="007F5D3A" w:rsidRDefault="006047D0" w:rsidP="00FF74AC">
    <w:pPr>
      <w:rPr>
        <w:sz w:val="24"/>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1DC1" w14:textId="77777777" w:rsidR="00B52289" w:rsidRDefault="00B52289" w:rsidP="00FF74AC">
      <w:r>
        <w:separator/>
      </w:r>
    </w:p>
  </w:footnote>
  <w:footnote w:type="continuationSeparator" w:id="0">
    <w:p w14:paraId="1F95B0FD" w14:textId="77777777" w:rsidR="00B52289" w:rsidRDefault="00B52289" w:rsidP="00FF74AC">
      <w:r>
        <w:continuationSeparator/>
      </w:r>
    </w:p>
  </w:footnote>
  <w:footnote w:type="continuationNotice" w:id="1">
    <w:p w14:paraId="20D4DE99" w14:textId="77777777" w:rsidR="00B52289" w:rsidRDefault="00B52289" w:rsidP="00FF74AC"/>
  </w:footnote>
  <w:footnote w:id="2">
    <w:p w14:paraId="10047DAB" w14:textId="0B257873" w:rsidR="004F6D89" w:rsidRPr="00A8368B" w:rsidRDefault="004F6D89" w:rsidP="004F6D89">
      <w:pPr>
        <w:pStyle w:val="FootnoteText"/>
      </w:pPr>
      <w:r w:rsidRPr="00A8368B">
        <w:rPr>
          <w:rStyle w:val="FootnoteReference"/>
        </w:rPr>
        <w:footnoteRef/>
      </w:r>
      <w:r w:rsidRPr="00A8368B">
        <w:t xml:space="preserve"> </w:t>
      </w:r>
      <w:r w:rsidR="00051110" w:rsidRPr="00380107">
        <w:t xml:space="preserve">The Business Commission to Tackle Inequality, “Tackling Inequality: The Need and Opportunity for Business Action,” June 2022, </w:t>
      </w:r>
      <w:hyperlink r:id="rId1" w:history="1">
        <w:r w:rsidR="00051110" w:rsidRPr="008F70B7">
          <w:rPr>
            <w:rStyle w:val="Hyperlink"/>
          </w:rPr>
          <w:t>https://tacklinginequality.org/files/introduction.pdf</w:t>
        </w:r>
      </w:hyperlink>
      <w:r w:rsidR="00051110">
        <w:t>.</w:t>
      </w:r>
    </w:p>
  </w:footnote>
  <w:footnote w:id="3">
    <w:p w14:paraId="04F0BDA0" w14:textId="7DFEE87F" w:rsidR="00FD57E3" w:rsidRPr="00431C24" w:rsidRDefault="00FD57E3" w:rsidP="00431C24">
      <w:pPr>
        <w:pStyle w:val="FootnoteText"/>
      </w:pPr>
      <w:r w:rsidRPr="00431C24">
        <w:rPr>
          <w:rStyle w:val="FootnoteReference"/>
        </w:rPr>
        <w:footnoteRef/>
      </w:r>
      <w:r w:rsidRPr="00431C24">
        <w:rPr>
          <w:rStyle w:val="FootnoteReference"/>
        </w:rPr>
        <w:t xml:space="preserve"> </w:t>
      </w:r>
      <w:r w:rsidR="00CF14B8" w:rsidRPr="00431C24">
        <w:t>Richard Volpe and Michael A. Boland, “The Economic Impacts of Walmart Supercenters,”</w:t>
      </w:r>
      <w:r w:rsidR="00CF14B8" w:rsidRPr="00431C24">
        <w:rPr>
          <w:rStyle w:val="apple-converted-space"/>
          <w:color w:val="000000"/>
        </w:rPr>
        <w:t> </w:t>
      </w:r>
      <w:r w:rsidR="00CF14B8" w:rsidRPr="00431C24">
        <w:rPr>
          <w:i/>
          <w:iCs/>
        </w:rPr>
        <w:t>Annual Review of Resource Economics</w:t>
      </w:r>
      <w:r w:rsidR="00CF14B8" w:rsidRPr="00431C24">
        <w:rPr>
          <w:rStyle w:val="apple-converted-space"/>
          <w:color w:val="000000"/>
        </w:rPr>
        <w:t> </w:t>
      </w:r>
      <w:r w:rsidR="00CF14B8" w:rsidRPr="00431C24">
        <w:t xml:space="preserve">14, no. 1 (October 5, 2022): 43–62, </w:t>
      </w:r>
      <w:hyperlink r:id="rId2" w:history="1">
        <w:r w:rsidR="00CF14B8" w:rsidRPr="00431C24">
          <w:rPr>
            <w:rStyle w:val="Hyperlink"/>
          </w:rPr>
          <w:t>https://doi.org/10.1146/annurev-resource-111820-032827</w:t>
        </w:r>
      </w:hyperlink>
      <w:r w:rsidR="00CF14B8" w:rsidRPr="00431C24">
        <w:t xml:space="preserve">. </w:t>
      </w:r>
    </w:p>
  </w:footnote>
  <w:footnote w:id="4">
    <w:p w14:paraId="735CDAF3" w14:textId="4DC1AE73" w:rsidR="00D07AFB" w:rsidRDefault="00D07AFB">
      <w:pPr>
        <w:pStyle w:val="FootnoteText"/>
      </w:pPr>
      <w:r>
        <w:rPr>
          <w:rStyle w:val="FootnoteReference"/>
        </w:rPr>
        <w:footnoteRef/>
      </w:r>
      <w:r>
        <w:t xml:space="preserve"> </w:t>
      </w:r>
      <w:hyperlink r:id="rId3" w:history="1">
        <w:r w:rsidRPr="00ED7A1F">
          <w:rPr>
            <w:rStyle w:val="Hyperlink"/>
          </w:rPr>
          <w:t>https://www.sec.gov/ix?doc=/Archives/edgar/data/0000104169/000010416924000078/wmt-20240424.htm</w:t>
        </w:r>
      </w:hyperlink>
      <w:r>
        <w:t xml:space="preserve"> </w:t>
      </w:r>
    </w:p>
  </w:footnote>
  <w:footnote w:id="5">
    <w:p w14:paraId="068E2314" w14:textId="77777777" w:rsidR="00CF51B1" w:rsidRDefault="00CF51B1" w:rsidP="00CF51B1">
      <w:pPr>
        <w:pStyle w:val="FootnoteText"/>
      </w:pPr>
      <w:r>
        <w:rPr>
          <w:rStyle w:val="FootnoteReference"/>
        </w:rPr>
        <w:footnoteRef/>
      </w:r>
      <w:r>
        <w:t xml:space="preserve"> </w:t>
      </w:r>
      <w:hyperlink r:id="rId4" w:history="1">
        <w:r w:rsidRPr="00C23080">
          <w:rPr>
            <w:rStyle w:val="Hyperlink"/>
          </w:rPr>
          <w:t>https://livingwage.mit.edu/pages/about</w:t>
        </w:r>
      </w:hyperlink>
      <w:r>
        <w:t xml:space="preserve"> (Living wage is a “</w:t>
      </w:r>
      <w:r w:rsidRPr="001737B2">
        <w:t xml:space="preserve">market-based approach that draws upon geographically specific expenditure data related to a family’s likely minimum food, childcare, health insurance, housing, transportation, and other </w:t>
      </w:r>
      <w:proofErr w:type="gramStart"/>
      <w:r w:rsidRPr="001737B2">
        <w:t>basic necessities</w:t>
      </w:r>
      <w:proofErr w:type="gramEnd"/>
      <w:r w:rsidRPr="001737B2">
        <w:t xml:space="preserve"> (e.g. clothing, personal care items, etc.) costs. The living wage draws on these cost elements and the rough effects of income and payroll taxes to determine the minimum employment earnings necessary to meet a family’s basic needs while al</w:t>
      </w:r>
      <w:r>
        <w:t>so maintaining self-sufficiency.</w:t>
      </w:r>
      <w:r w:rsidRPr="001737B2">
        <w:t>”</w:t>
      </w:r>
      <w:r>
        <w:t>)</w:t>
      </w:r>
      <w:r w:rsidRPr="001737B2">
        <w:t xml:space="preserve"> </w:t>
      </w:r>
    </w:p>
  </w:footnote>
  <w:footnote w:id="6">
    <w:p w14:paraId="15E463E6" w14:textId="77777777" w:rsidR="00CF51B1" w:rsidRPr="00527B00" w:rsidRDefault="00CF51B1" w:rsidP="00CF51B1">
      <w:pPr>
        <w:pStyle w:val="FootnoteText"/>
      </w:pPr>
      <w:r>
        <w:rPr>
          <w:rStyle w:val="FootnoteReference"/>
        </w:rPr>
        <w:footnoteRef/>
      </w:r>
      <w:r>
        <w:t xml:space="preserve"> </w:t>
      </w:r>
      <w:r w:rsidRPr="00C13E9F">
        <w:rPr>
          <w:i/>
          <w:iCs/>
        </w:rPr>
        <w:t>Ibid.</w:t>
      </w:r>
    </w:p>
  </w:footnote>
  <w:footnote w:id="7">
    <w:p w14:paraId="6753E4C5" w14:textId="77777777" w:rsidR="00C549D6" w:rsidRDefault="00C549D6" w:rsidP="00C549D6">
      <w:pPr>
        <w:pStyle w:val="FootnoteText"/>
      </w:pPr>
      <w:r>
        <w:rPr>
          <w:rStyle w:val="FootnoteReference"/>
        </w:rPr>
        <w:footnoteRef/>
      </w:r>
      <w:r>
        <w:t xml:space="preserve"> </w:t>
      </w:r>
      <w:r w:rsidRPr="00956EEF">
        <w:t xml:space="preserve">Emma Burleigh, “Americans Are Struggling to Scrape by—More than 40% of Full-Time Workers Aren’t Making a Living Wage,” Fortune, August 26, 2024, </w:t>
      </w:r>
      <w:hyperlink r:id="rId5" w:history="1">
        <w:r w:rsidRPr="002A349F">
          <w:rPr>
            <w:rStyle w:val="Hyperlink"/>
          </w:rPr>
          <w:t>https://fortune.com/2024/08/26/many-us-workers-dont-make-living-wage-women-people-of-color/</w:t>
        </w:r>
      </w:hyperlink>
      <w:r w:rsidRPr="00956EEF">
        <w:t>.</w:t>
      </w:r>
      <w:r>
        <w:t xml:space="preserve"> </w:t>
      </w:r>
    </w:p>
  </w:footnote>
  <w:footnote w:id="8">
    <w:p w14:paraId="0ACF3584" w14:textId="49684E8A" w:rsidR="008A0F72" w:rsidRDefault="008A0F72">
      <w:pPr>
        <w:pStyle w:val="FootnoteText"/>
      </w:pPr>
      <w:r>
        <w:rPr>
          <w:rStyle w:val="FootnoteReference"/>
        </w:rPr>
        <w:footnoteRef/>
      </w:r>
      <w:r>
        <w:t xml:space="preserve"> </w:t>
      </w:r>
      <w:hyperlink r:id="rId6" w:history="1">
        <w:r w:rsidRPr="00ED7A1F">
          <w:rPr>
            <w:rStyle w:val="Hyperlink"/>
          </w:rPr>
          <w:t>https://corporate.walmart.com/askwalmart/how-much-do-walmart-associates-make</w:t>
        </w:r>
      </w:hyperlink>
      <w:r>
        <w:t xml:space="preserve"> [emphasis added]</w:t>
      </w:r>
    </w:p>
  </w:footnote>
  <w:footnote w:id="9">
    <w:p w14:paraId="30AD861F" w14:textId="3AD460A6" w:rsidR="00B91356" w:rsidRPr="00431C24" w:rsidRDefault="00B91356" w:rsidP="00431C24">
      <w:pPr>
        <w:pStyle w:val="FootnoteText"/>
      </w:pPr>
      <w:r w:rsidRPr="00431C24">
        <w:rPr>
          <w:rStyle w:val="FootnoteReference"/>
        </w:rPr>
        <w:footnoteRef/>
      </w:r>
      <w:r w:rsidRPr="00431C24">
        <w:t xml:space="preserve"> Daphne Howland, “Walmart Lowers Starting Wage for Some Store Workers,”</w:t>
      </w:r>
      <w:r w:rsidRPr="00431C24">
        <w:rPr>
          <w:rStyle w:val="apple-converted-space"/>
          <w:color w:val="000000"/>
        </w:rPr>
        <w:t> </w:t>
      </w:r>
      <w:r w:rsidRPr="00431C24">
        <w:rPr>
          <w:i/>
          <w:iCs/>
        </w:rPr>
        <w:t>Retail Dive</w:t>
      </w:r>
      <w:r w:rsidRPr="00431C24">
        <w:t xml:space="preserve">, September 8, 2024, </w:t>
      </w:r>
      <w:hyperlink r:id="rId7" w:history="1">
        <w:r w:rsidRPr="00431C24">
          <w:rPr>
            <w:rStyle w:val="Hyperlink"/>
          </w:rPr>
          <w:t>https://www.retaildive.com/news/walmart-lowers-starting-wage-workers/693071/</w:t>
        </w:r>
      </w:hyperlink>
      <w:r w:rsidRPr="00431C24">
        <w:t xml:space="preserve">. </w:t>
      </w:r>
    </w:p>
  </w:footnote>
  <w:footnote w:id="10">
    <w:p w14:paraId="33BB91E9" w14:textId="4332F0E1" w:rsidR="00347FC4" w:rsidRPr="00431C24" w:rsidRDefault="00347FC4" w:rsidP="00431C24">
      <w:pPr>
        <w:pStyle w:val="FootnoteText"/>
      </w:pPr>
      <w:r w:rsidRPr="00431C24">
        <w:rPr>
          <w:rStyle w:val="FootnoteReference"/>
        </w:rPr>
        <w:footnoteRef/>
      </w:r>
      <w:r w:rsidRPr="00431C24">
        <w:t xml:space="preserve"> </w:t>
      </w:r>
      <w:r w:rsidRPr="00431C24">
        <w:rPr>
          <w:i/>
          <w:iCs/>
        </w:rPr>
        <w:t>See</w:t>
      </w:r>
      <w:r w:rsidRPr="00431C24">
        <w:t xml:space="preserve"> MIT’s Living Wage Calculator at </w:t>
      </w:r>
      <w:hyperlink r:id="rId8" w:history="1">
        <w:r w:rsidR="005C799D" w:rsidRPr="0020744A">
          <w:rPr>
            <w:rStyle w:val="Hyperlink"/>
          </w:rPr>
          <w:t>https://livingwage.mit.edu/</w:t>
        </w:r>
      </w:hyperlink>
      <w:r w:rsidR="005C799D">
        <w:t xml:space="preserve"> </w:t>
      </w:r>
    </w:p>
  </w:footnote>
  <w:footnote w:id="11">
    <w:p w14:paraId="7037276E" w14:textId="433242C1" w:rsidR="00B10B3F" w:rsidRPr="00773CD7" w:rsidRDefault="00B10B3F" w:rsidP="00431C24">
      <w:pPr>
        <w:pStyle w:val="FootnoteText"/>
        <w:rPr>
          <w:rStyle w:val="FootnoteReference"/>
          <w:vertAlign w:val="baseline"/>
        </w:rPr>
      </w:pPr>
      <w:r w:rsidRPr="00773CD7">
        <w:rPr>
          <w:rStyle w:val="FootnoteReference"/>
        </w:rPr>
        <w:footnoteRef/>
      </w:r>
      <w:r w:rsidRPr="00773CD7">
        <w:rPr>
          <w:rStyle w:val="FootnoteReference"/>
        </w:rPr>
        <w:t xml:space="preserve"> </w:t>
      </w:r>
      <w:hyperlink r:id="rId9" w:history="1">
        <w:r w:rsidR="00475A12" w:rsidRPr="00ED7A1F">
          <w:rPr>
            <w:rStyle w:val="Hyperlink"/>
          </w:rPr>
          <w:t>https://corporate.walmart.com/content/dam/corporate/documents/purpose/culture-diversity-equity-and-inclusion-report/2024-annual-belonging-diversity-equity-and-inclusion-annual-report.pdf</w:t>
        </w:r>
      </w:hyperlink>
      <w:r w:rsidR="00475A12">
        <w:t xml:space="preserve"> </w:t>
      </w:r>
    </w:p>
  </w:footnote>
  <w:footnote w:id="12">
    <w:p w14:paraId="6C469BDB" w14:textId="77777777" w:rsidR="004B194F" w:rsidRPr="00773CD7" w:rsidRDefault="004B194F" w:rsidP="004B194F">
      <w:pPr>
        <w:pStyle w:val="FootnoteText"/>
        <w:rPr>
          <w:rStyle w:val="FootnoteReference"/>
        </w:rPr>
      </w:pPr>
      <w:r w:rsidRPr="00773CD7">
        <w:rPr>
          <w:rStyle w:val="FootnoteReference"/>
        </w:rPr>
        <w:footnoteRef/>
      </w:r>
      <w:r w:rsidRPr="00773CD7">
        <w:rPr>
          <w:rStyle w:val="FootnoteReference"/>
        </w:rPr>
        <w:t xml:space="preserve"> </w:t>
      </w:r>
      <w:r>
        <w:rPr>
          <w:color w:val="000000"/>
        </w:rPr>
        <w:t>Richard Volpe and Michael A. Boland, “The Economic Impacts of Walmart Supercenters,”</w:t>
      </w:r>
      <w:r>
        <w:rPr>
          <w:rStyle w:val="apple-converted-space"/>
          <w:color w:val="000000"/>
        </w:rPr>
        <w:t> </w:t>
      </w:r>
      <w:r>
        <w:rPr>
          <w:i/>
          <w:iCs/>
          <w:color w:val="000000"/>
        </w:rPr>
        <w:t>Annual Review of Resource Economics</w:t>
      </w:r>
      <w:r>
        <w:rPr>
          <w:rStyle w:val="apple-converted-space"/>
          <w:color w:val="000000"/>
        </w:rPr>
        <w:t> </w:t>
      </w:r>
      <w:r>
        <w:rPr>
          <w:color w:val="000000"/>
        </w:rPr>
        <w:t xml:space="preserve">14, no. 1 (October 5, 2022): 43–62, </w:t>
      </w:r>
      <w:hyperlink r:id="rId10" w:history="1">
        <w:r w:rsidRPr="0020744A">
          <w:rPr>
            <w:rStyle w:val="Hyperlink"/>
          </w:rPr>
          <w:t>https://doi.org/10.1146/annurev-resource-111820-032827</w:t>
        </w:r>
      </w:hyperlink>
      <w:r>
        <w:rPr>
          <w:color w:val="000000"/>
        </w:rPr>
        <w:t xml:space="preserve">. </w:t>
      </w:r>
    </w:p>
  </w:footnote>
  <w:footnote w:id="13">
    <w:p w14:paraId="553894EF" w14:textId="3B31FFD5" w:rsidR="00007700" w:rsidRDefault="00007700">
      <w:pPr>
        <w:pStyle w:val="FootnoteText"/>
      </w:pPr>
      <w:r>
        <w:rPr>
          <w:rStyle w:val="FootnoteReference"/>
        </w:rPr>
        <w:footnoteRef/>
      </w:r>
      <w:r>
        <w:t xml:space="preserve"> </w:t>
      </w:r>
      <w:hyperlink r:id="rId11" w:anchor="google_vignette" w:history="1">
        <w:r w:rsidRPr="00ED7A1F">
          <w:rPr>
            <w:rStyle w:val="Hyperlink"/>
          </w:rPr>
          <w:t>https://companiesmarketcap.com/largest-companies-by-number-of-employees/#google_vignette</w:t>
        </w:r>
      </w:hyperlink>
      <w:r>
        <w:t xml:space="preserve"> </w:t>
      </w:r>
    </w:p>
  </w:footnote>
  <w:footnote w:id="14">
    <w:p w14:paraId="7F0AF7F7" w14:textId="419BA2ED" w:rsidR="002F2240" w:rsidRPr="00773CD7" w:rsidRDefault="002F2240" w:rsidP="00431C24">
      <w:pPr>
        <w:pStyle w:val="FootnoteText"/>
        <w:rPr>
          <w:rStyle w:val="FootnoteReference"/>
          <w:vertAlign w:val="baseline"/>
        </w:rPr>
      </w:pPr>
      <w:r w:rsidRPr="00773CD7">
        <w:rPr>
          <w:rStyle w:val="FootnoteReference"/>
        </w:rPr>
        <w:footnoteRef/>
      </w:r>
      <w:r w:rsidRPr="00773CD7">
        <w:rPr>
          <w:rStyle w:val="FootnoteReference"/>
        </w:rPr>
        <w:t xml:space="preserve"> </w:t>
      </w:r>
      <w:hyperlink r:id="rId12" w:history="1">
        <w:r w:rsidR="00A6178B" w:rsidRPr="0020744A">
          <w:rPr>
            <w:rStyle w:val="Hyperlink"/>
          </w:rPr>
          <w:t>https://corporate.walmart.com/askwalmart/how-many-people-work-at-walmart</w:t>
        </w:r>
      </w:hyperlink>
      <w:r w:rsidR="00A6178B">
        <w:t xml:space="preserve"> </w:t>
      </w:r>
    </w:p>
  </w:footnote>
  <w:footnote w:id="15">
    <w:p w14:paraId="62D7BC75" w14:textId="6A17699A" w:rsidR="002F2240" w:rsidRPr="00773CD7" w:rsidRDefault="002F2240" w:rsidP="00431C24">
      <w:pPr>
        <w:pStyle w:val="FootnoteText"/>
        <w:rPr>
          <w:rStyle w:val="FootnoteReference"/>
        </w:rPr>
      </w:pPr>
      <w:r w:rsidRPr="00773CD7">
        <w:rPr>
          <w:rStyle w:val="FootnoteReference"/>
        </w:rPr>
        <w:footnoteRef/>
      </w:r>
      <w:r w:rsidRPr="00773CD7">
        <w:rPr>
          <w:rStyle w:val="FootnoteReference"/>
        </w:rPr>
        <w:t xml:space="preserve"> </w:t>
      </w:r>
      <w:r w:rsidR="004C1F57">
        <w:t>(</w:t>
      </w:r>
      <w:r w:rsidRPr="00283AA2">
        <w:rPr>
          <w:rStyle w:val="FootnoteReference"/>
          <w:vertAlign w:val="baseline"/>
        </w:rPr>
        <w:t>Alaska, Delaware, District of Columbia, Hawaii, Maine, Montana, New Hampshire, North Dakota, Rhode Island, South Dakota, Vermont, Wyoming</w:t>
      </w:r>
      <w:r w:rsidR="004C1F57">
        <w:t>)</w:t>
      </w:r>
      <w:r w:rsidRPr="00283AA2">
        <w:rPr>
          <w:rStyle w:val="FootnoteReference"/>
          <w:vertAlign w:val="baseline"/>
        </w:rPr>
        <w:t xml:space="preserve"> </w:t>
      </w:r>
      <w:r w:rsidR="00DB59FB">
        <w:rPr>
          <w:color w:val="000000"/>
        </w:rPr>
        <w:t xml:space="preserve">US Census Bureau, “State Population Totals and Components of Change: 2020-2023,” Census.gov, accessed April 26, 2024, </w:t>
      </w:r>
      <w:hyperlink r:id="rId13" w:history="1">
        <w:r w:rsidR="004C1F57" w:rsidRPr="0020744A">
          <w:rPr>
            <w:rStyle w:val="Hyperlink"/>
          </w:rPr>
          <w:t>https://www.census.gov/data/tables/time-series/demo/popest/2020s-state-total.html</w:t>
        </w:r>
      </w:hyperlink>
      <w:r w:rsidR="00DB59FB">
        <w:rPr>
          <w:color w:val="000000"/>
        </w:rPr>
        <w:t>.</w:t>
      </w:r>
      <w:r w:rsidR="004C1F57">
        <w:rPr>
          <w:color w:val="000000"/>
        </w:rPr>
        <w:t xml:space="preserve"> </w:t>
      </w:r>
    </w:p>
  </w:footnote>
  <w:footnote w:id="16">
    <w:p w14:paraId="216D4323" w14:textId="36824E85" w:rsidR="002F2240" w:rsidRPr="00970746" w:rsidRDefault="002F2240" w:rsidP="00431C24">
      <w:pPr>
        <w:pStyle w:val="FootnoteText"/>
        <w:rPr>
          <w:rStyle w:val="FootnoteReference"/>
          <w:vertAlign w:val="baseline"/>
        </w:rPr>
      </w:pPr>
      <w:r w:rsidRPr="00AF3BE0">
        <w:rPr>
          <w:rStyle w:val="FootnoteReference"/>
        </w:rPr>
        <w:footnoteRef/>
      </w:r>
      <w:r w:rsidRPr="00283AA2">
        <w:rPr>
          <w:rStyle w:val="FootnoteReference"/>
          <w:vertAlign w:val="baseline"/>
        </w:rPr>
        <w:t xml:space="preserve"> </w:t>
      </w:r>
      <w:r w:rsidR="00AF3BE0">
        <w:rPr>
          <w:color w:val="000000"/>
        </w:rPr>
        <w:t xml:space="preserve">Robert W. McGee, “How Highly Would Walmart Rank If It Were a Country? A Comparison of Walmart Revenue to Nations’ GDP,” SSRN Scholarly Paper (Rochester, NY, January 22, 2020), </w:t>
      </w:r>
      <w:hyperlink r:id="rId14" w:history="1">
        <w:r w:rsidR="00AF3BE0" w:rsidRPr="0020744A">
          <w:rPr>
            <w:rStyle w:val="Hyperlink"/>
          </w:rPr>
          <w:t>https://doi.org/10.2139/ssrn.3524078</w:t>
        </w:r>
      </w:hyperlink>
      <w:r w:rsidR="00AF3BE0">
        <w:rPr>
          <w:color w:val="000000"/>
        </w:rPr>
        <w:t xml:space="preserve">. </w:t>
      </w:r>
    </w:p>
  </w:footnote>
  <w:footnote w:id="17">
    <w:p w14:paraId="77B55793" w14:textId="41D62AC3" w:rsidR="002F2240" w:rsidRPr="00283AA2" w:rsidRDefault="002F2240" w:rsidP="00431C24">
      <w:pPr>
        <w:pStyle w:val="FootnoteText"/>
        <w:rPr>
          <w:rStyle w:val="FootnoteReference"/>
          <w:vertAlign w:val="baseline"/>
        </w:rPr>
      </w:pPr>
      <w:r w:rsidRPr="00431C24">
        <w:rPr>
          <w:rStyle w:val="FootnoteReference"/>
        </w:rPr>
        <w:footnoteRef/>
      </w:r>
      <w:r w:rsidRPr="00431C24">
        <w:rPr>
          <w:rStyle w:val="FootnoteReference"/>
        </w:rPr>
        <w:t xml:space="preserve"> </w:t>
      </w:r>
      <w:r w:rsidRPr="00283AA2">
        <w:rPr>
          <w:rStyle w:val="FootnoteReference"/>
          <w:vertAlign w:val="baseline"/>
        </w:rPr>
        <w:t>Julie Morris, “Store shuts doors on Texas town,” USA Today, October 11, 1990</w:t>
      </w:r>
      <w:r w:rsidR="003C188C">
        <w:t>.</w:t>
      </w:r>
    </w:p>
  </w:footnote>
  <w:footnote w:id="18">
    <w:p w14:paraId="02ED95A5" w14:textId="62938C71" w:rsidR="002F2240" w:rsidRPr="00283AA2" w:rsidRDefault="002F2240" w:rsidP="00431C24">
      <w:pPr>
        <w:pStyle w:val="FootnoteText"/>
        <w:rPr>
          <w:rStyle w:val="FootnoteReference"/>
          <w:vertAlign w:val="baseline"/>
        </w:rPr>
      </w:pPr>
      <w:r w:rsidRPr="00431C24">
        <w:rPr>
          <w:rStyle w:val="FootnoteReference"/>
        </w:rPr>
        <w:footnoteRef/>
      </w:r>
      <w:r w:rsidRPr="00431C24">
        <w:rPr>
          <w:rStyle w:val="FootnoteReference"/>
        </w:rPr>
        <w:t xml:space="preserve"> </w:t>
      </w:r>
      <w:r w:rsidR="00160496">
        <w:rPr>
          <w:color w:val="000000"/>
        </w:rPr>
        <w:t>Charles Fishman,</w:t>
      </w:r>
      <w:r w:rsidR="00160496">
        <w:rPr>
          <w:rStyle w:val="apple-converted-space"/>
          <w:color w:val="000000"/>
        </w:rPr>
        <w:t> </w:t>
      </w:r>
      <w:r w:rsidR="00160496">
        <w:rPr>
          <w:i/>
          <w:iCs/>
          <w:color w:val="000000"/>
        </w:rPr>
        <w:t>The Wal-Mart Effect: How the World’s Most Powerful Company Really Works - and How It’s Transforming the American Economy</w:t>
      </w:r>
      <w:r w:rsidR="00160496">
        <w:rPr>
          <w:rStyle w:val="apple-converted-space"/>
          <w:color w:val="000000"/>
        </w:rPr>
        <w:t> </w:t>
      </w:r>
      <w:r w:rsidR="00160496">
        <w:rPr>
          <w:color w:val="000000"/>
        </w:rPr>
        <w:t>(Penguin Books, 2006).</w:t>
      </w:r>
    </w:p>
  </w:footnote>
  <w:footnote w:id="19">
    <w:p w14:paraId="6F929C5A" w14:textId="366418AF" w:rsidR="002F2240" w:rsidRPr="00431C24" w:rsidRDefault="002F2240" w:rsidP="00431C24">
      <w:pPr>
        <w:pStyle w:val="FootnoteText"/>
        <w:rPr>
          <w:rStyle w:val="FootnoteReference"/>
        </w:rPr>
      </w:pPr>
      <w:r w:rsidRPr="00431C24">
        <w:rPr>
          <w:rStyle w:val="FootnoteReference"/>
        </w:rPr>
        <w:footnoteRef/>
      </w:r>
      <w:r w:rsidRPr="00431C24">
        <w:rPr>
          <w:rStyle w:val="FootnoteReference"/>
        </w:rPr>
        <w:t xml:space="preserve"> </w:t>
      </w:r>
      <w:r w:rsidR="00A91550">
        <w:rPr>
          <w:color w:val="000000"/>
        </w:rPr>
        <w:t xml:space="preserve">Democratic Staff of the U.S. House Committee on Education and the Workforce, “The Low-Wage Drag on Our Economy: Wal-Mart’s Low Wages and Their Effect on Taxpayers and Economic Growth,” May 2013, </w:t>
      </w:r>
      <w:hyperlink r:id="rId15" w:history="1">
        <w:r w:rsidR="00A91550" w:rsidRPr="0020744A">
          <w:rPr>
            <w:rStyle w:val="Hyperlink"/>
          </w:rPr>
          <w:t>https://democrats-edworkforce.house.gov/imo/media/doc/WalMartReport-May2013.pdf</w:t>
        </w:r>
      </w:hyperlink>
      <w:r w:rsidR="00A91550">
        <w:rPr>
          <w:color w:val="000000"/>
        </w:rPr>
        <w:t xml:space="preserve">. </w:t>
      </w:r>
    </w:p>
  </w:footnote>
  <w:footnote w:id="20">
    <w:p w14:paraId="6B5B8CCB" w14:textId="7F4CA8FB" w:rsidR="00671CA6" w:rsidRDefault="00671CA6">
      <w:pPr>
        <w:pStyle w:val="FootnoteText"/>
      </w:pPr>
      <w:r>
        <w:rPr>
          <w:rStyle w:val="FootnoteReference"/>
        </w:rPr>
        <w:footnoteRef/>
      </w:r>
      <w:r>
        <w:t xml:space="preserve"> </w:t>
      </w:r>
      <w:proofErr w:type="spellStart"/>
      <w:r>
        <w:rPr>
          <w:color w:val="000000"/>
        </w:rPr>
        <w:t>Rogé</w:t>
      </w:r>
      <w:proofErr w:type="spellEnd"/>
      <w:r>
        <w:rPr>
          <w:color w:val="000000"/>
        </w:rPr>
        <w:t xml:space="preserve"> Karma, “The Walmart Effect,”</w:t>
      </w:r>
      <w:r>
        <w:rPr>
          <w:rStyle w:val="apple-converted-space"/>
          <w:color w:val="000000"/>
        </w:rPr>
        <w:t> </w:t>
      </w:r>
      <w:r>
        <w:rPr>
          <w:i/>
          <w:iCs/>
          <w:color w:val="000000"/>
        </w:rPr>
        <w:t>The Atlantic</w:t>
      </w:r>
      <w:r>
        <w:rPr>
          <w:color w:val="000000"/>
        </w:rPr>
        <w:t xml:space="preserve">, December 24, 2024, </w:t>
      </w:r>
      <w:hyperlink r:id="rId16" w:history="1">
        <w:r w:rsidRPr="00ED7A1F">
          <w:rPr>
            <w:rStyle w:val="Hyperlink"/>
          </w:rPr>
          <w:t>https://www.theatlantic.com/economy/archive/2024/12/walmart-prices-poverty-economy/681122/</w:t>
        </w:r>
      </w:hyperlink>
      <w:r>
        <w:rPr>
          <w:color w:val="000000"/>
        </w:rPr>
        <w:t xml:space="preserve">. </w:t>
      </w:r>
    </w:p>
  </w:footnote>
  <w:footnote w:id="21">
    <w:p w14:paraId="214C811B" w14:textId="35FB8984" w:rsidR="006820B2" w:rsidRPr="00431C24" w:rsidRDefault="006820B2" w:rsidP="00431C24">
      <w:pPr>
        <w:pStyle w:val="FootnoteText"/>
      </w:pPr>
      <w:r w:rsidRPr="00431C24">
        <w:rPr>
          <w:rStyle w:val="FootnoteReference"/>
        </w:rPr>
        <w:footnoteRef/>
      </w:r>
      <w:r w:rsidRPr="00431C24">
        <w:t xml:space="preserve"> </w:t>
      </w:r>
      <w:proofErr w:type="spellStart"/>
      <w:r w:rsidR="00283AA2" w:rsidRPr="00283AA2">
        <w:t>Orsetta</w:t>
      </w:r>
      <w:proofErr w:type="spellEnd"/>
      <w:r w:rsidR="00283AA2" w:rsidRPr="00283AA2">
        <w:t xml:space="preserve"> Causa, Alain de Serres, and Nicolas Ruiz, “Growth and Inequality: A Close Relationship?,” OECD, 2014, </w:t>
      </w:r>
      <w:hyperlink r:id="rId17" w:history="1">
        <w:r w:rsidR="004D766C">
          <w:rPr>
            <w:rStyle w:val="Hyperlink"/>
          </w:rPr>
          <w:t>https://www.oecd.org/content/dam/oecd/en/publications/reports/2014/06/oecd-yearbook-2014_g1g45233/observer-v2013-5-en.pdf</w:t>
        </w:r>
      </w:hyperlink>
      <w:r w:rsidR="009C31CF">
        <w:t>, p. 28</w:t>
      </w:r>
      <w:r w:rsidR="00283AA2" w:rsidRPr="00283AA2">
        <w:t>.</w:t>
      </w:r>
      <w:r w:rsidR="00283AA2">
        <w:t xml:space="preserve"> </w:t>
      </w:r>
    </w:p>
  </w:footnote>
  <w:footnote w:id="22">
    <w:p w14:paraId="511E181B" w14:textId="77777777" w:rsidR="0076621D" w:rsidRPr="0010114A" w:rsidRDefault="0076621D" w:rsidP="0076621D">
      <w:pPr>
        <w:pStyle w:val="FootnoteText"/>
      </w:pPr>
      <w:r w:rsidRPr="0010114A">
        <w:rPr>
          <w:rStyle w:val="FootnoteReference"/>
          <w:rFonts w:cs="Times New Roman"/>
          <w:szCs w:val="16"/>
        </w:rPr>
        <w:footnoteRef/>
      </w:r>
      <w:r w:rsidRPr="0010114A">
        <w:t xml:space="preserve"> </w:t>
      </w:r>
      <w:r w:rsidRPr="0010114A">
        <w:rPr>
          <w:i/>
          <w:iCs/>
        </w:rPr>
        <w:t>See generally</w:t>
      </w:r>
      <w:r w:rsidRPr="0010114A">
        <w:t>, </w:t>
      </w:r>
      <w:r>
        <w:rPr>
          <w:color w:val="000000"/>
        </w:rPr>
        <w:t>Burton Gordon Malkiel,</w:t>
      </w:r>
      <w:r>
        <w:rPr>
          <w:rStyle w:val="apple-converted-space"/>
          <w:color w:val="000000"/>
        </w:rPr>
        <w:t> </w:t>
      </w:r>
      <w:r>
        <w:rPr>
          <w:i/>
          <w:iCs/>
          <w:color w:val="000000"/>
        </w:rPr>
        <w:t>A Random Walk down Wall Street: The Time-Tested Strategy for Successful Investing</w:t>
      </w:r>
      <w:r>
        <w:rPr>
          <w:rStyle w:val="apple-converted-space"/>
          <w:color w:val="000000"/>
        </w:rPr>
        <w:t> </w:t>
      </w:r>
      <w:r>
        <w:rPr>
          <w:color w:val="000000"/>
        </w:rPr>
        <w:t>(New York: W.W. Norton &amp; Company, 2020).</w:t>
      </w:r>
    </w:p>
  </w:footnote>
  <w:footnote w:id="23">
    <w:p w14:paraId="0A8FA764" w14:textId="77777777" w:rsidR="0076621D" w:rsidRPr="00EF6EE1" w:rsidRDefault="0076621D" w:rsidP="0076621D">
      <w:pPr>
        <w:pStyle w:val="FootnoteText"/>
      </w:pPr>
      <w:r w:rsidRPr="0010114A">
        <w:rPr>
          <w:rStyle w:val="FootnoteReference"/>
          <w:rFonts w:cs="Times New Roman"/>
          <w:szCs w:val="16"/>
        </w:rPr>
        <w:footnoteRef/>
      </w:r>
      <w:r w:rsidRPr="0010114A">
        <w:t xml:space="preserve"> </w:t>
      </w:r>
      <w:r>
        <w:rPr>
          <w:color w:val="000000"/>
        </w:rPr>
        <w:t>Malkiel,</w:t>
      </w:r>
      <w:r>
        <w:rPr>
          <w:rStyle w:val="apple-converted-space"/>
          <w:color w:val="000000"/>
        </w:rPr>
        <w:t> </w:t>
      </w:r>
      <w:r>
        <w:rPr>
          <w:i/>
          <w:iCs/>
          <w:color w:val="000000"/>
        </w:rPr>
        <w:t>A Random Walk down Wall Street</w:t>
      </w:r>
      <w:r>
        <w:rPr>
          <w:color w:val="000000"/>
        </w:rPr>
        <w:t>.</w:t>
      </w:r>
    </w:p>
  </w:footnote>
  <w:footnote w:id="24">
    <w:p w14:paraId="44156A2A" w14:textId="77777777" w:rsidR="0076621D" w:rsidRPr="0010114A" w:rsidRDefault="0076621D" w:rsidP="0076621D">
      <w:pPr>
        <w:pStyle w:val="FootnoteText"/>
      </w:pPr>
      <w:r w:rsidRPr="0010114A">
        <w:rPr>
          <w:rStyle w:val="FootnoteReference"/>
          <w:rFonts w:cs="Times New Roman"/>
          <w:szCs w:val="16"/>
        </w:rPr>
        <w:footnoteRef/>
      </w:r>
      <w:r w:rsidRPr="0010114A">
        <w:t xml:space="preserve"> 29 USC Section 404(a)(1)(C</w:t>
      </w:r>
      <w:r>
        <w:t>)</w:t>
      </w:r>
      <w:r w:rsidRPr="0010114A">
        <w:t>.</w:t>
      </w:r>
    </w:p>
  </w:footnote>
  <w:footnote w:id="25">
    <w:p w14:paraId="0496A800" w14:textId="77777777" w:rsidR="0076621D" w:rsidRDefault="0076621D" w:rsidP="0076621D">
      <w:pPr>
        <w:pStyle w:val="FootnoteText"/>
      </w:pPr>
      <w:r>
        <w:rPr>
          <w:rStyle w:val="FootnoteReference"/>
        </w:rPr>
        <w:footnoteRef/>
      </w:r>
      <w:r>
        <w:t xml:space="preserve"> </w:t>
      </w:r>
      <w:r>
        <w:rPr>
          <w:i/>
        </w:rPr>
        <w:t xml:space="preserve">See </w:t>
      </w:r>
      <w:r w:rsidRPr="00C96D55">
        <w:t>Uniform Prudent Investor Act, § 3</w:t>
      </w:r>
      <w:r w:rsidRPr="00C96D55">
        <w:fldChar w:fldCharType="begin"/>
      </w:r>
      <w:r w:rsidRPr="00C96D55">
        <w:instrText xml:space="preserve"> TA \l "Uniform Prudent Investor Act, §3" \s "Uniform Prudent Investor Act, §3" \c 2 </w:instrText>
      </w:r>
      <w:r w:rsidRPr="00C96D55">
        <w:fldChar w:fldCharType="end"/>
      </w:r>
      <w:r w:rsidRPr="00C96D55">
        <w:t xml:space="preserve"> (“[a] trustee shall diversify the investments of the trust unless the trustee reasonably determines that, because of special circumstances, the purposes of the trust are better served without diversifying.”)</w:t>
      </w:r>
    </w:p>
  </w:footnote>
  <w:footnote w:id="26">
    <w:p w14:paraId="22B7BA34" w14:textId="77777777" w:rsidR="0076621D" w:rsidRPr="00492566" w:rsidRDefault="0076621D" w:rsidP="0076621D">
      <w:pPr>
        <w:pStyle w:val="FootnoteText"/>
      </w:pPr>
      <w:r w:rsidRPr="00492566">
        <w:rPr>
          <w:rStyle w:val="FootnoteReference"/>
          <w:rFonts w:ascii="Times New Roman" w:hAnsi="Times New Roman" w:cs="Times New Roman"/>
        </w:rPr>
        <w:footnoteRef/>
      </w:r>
      <w:r w:rsidRPr="00492566">
        <w:t xml:space="preserve"> </w:t>
      </w:r>
      <w:r>
        <w:rPr>
          <w:color w:val="000000"/>
        </w:rPr>
        <w:t xml:space="preserve">Stephen Davis, Jon </w:t>
      </w:r>
      <w:proofErr w:type="spellStart"/>
      <w:r>
        <w:rPr>
          <w:color w:val="000000"/>
        </w:rPr>
        <w:t>Lukomnik</w:t>
      </w:r>
      <w:proofErr w:type="spellEnd"/>
      <w:r>
        <w:rPr>
          <w:color w:val="000000"/>
        </w:rPr>
        <w:t>, and David Pitt-Watson,</w:t>
      </w:r>
      <w:r>
        <w:rPr>
          <w:rStyle w:val="apple-converted-space"/>
          <w:color w:val="000000"/>
        </w:rPr>
        <w:t> </w:t>
      </w:r>
      <w:r>
        <w:rPr>
          <w:i/>
          <w:iCs/>
          <w:color w:val="000000"/>
        </w:rPr>
        <w:t>What They Do with Your Money How the Financial System Fails Us and How to Fix It</w:t>
      </w:r>
      <w:r>
        <w:rPr>
          <w:rStyle w:val="apple-converted-space"/>
          <w:color w:val="000000"/>
        </w:rPr>
        <w:t> </w:t>
      </w:r>
      <w:r>
        <w:rPr>
          <w:color w:val="000000"/>
        </w:rPr>
        <w:t>(Yale University Press, 2016).</w:t>
      </w:r>
    </w:p>
  </w:footnote>
  <w:footnote w:id="27">
    <w:p w14:paraId="6950E316" w14:textId="442E9E5A" w:rsidR="004B6714" w:rsidRPr="00431C24" w:rsidRDefault="004B6714" w:rsidP="00431C24">
      <w:pPr>
        <w:pStyle w:val="FootnoteText"/>
      </w:pPr>
      <w:r w:rsidRPr="00431C24">
        <w:rPr>
          <w:rStyle w:val="FootnoteReference"/>
          <w:rFonts w:cstheme="majorHAnsi"/>
        </w:rPr>
        <w:footnoteRef/>
      </w:r>
      <w:r w:rsidRPr="00431C24">
        <w:t xml:space="preserve"> </w:t>
      </w:r>
      <w:r w:rsidR="00907C29">
        <w:rPr>
          <w:color w:val="000000"/>
        </w:rPr>
        <w:t xml:space="preserve">Richard Mattison, Mark </w:t>
      </w:r>
      <w:proofErr w:type="spellStart"/>
      <w:r w:rsidR="00907C29">
        <w:rPr>
          <w:color w:val="000000"/>
        </w:rPr>
        <w:t>Trevitt</w:t>
      </w:r>
      <w:proofErr w:type="spellEnd"/>
      <w:r w:rsidR="00907C29">
        <w:rPr>
          <w:color w:val="000000"/>
        </w:rPr>
        <w:t xml:space="preserve">, and Liesl van Ast, “Universal Ownership: Why Environmental Externalities Matter to Institutional Investors” (UNEP Finance Initiative and PRI, October 6, 2010), </w:t>
      </w:r>
      <w:hyperlink r:id="rId18" w:history="1">
        <w:r w:rsidR="00907C29" w:rsidRPr="002C3C64">
          <w:rPr>
            <w:rStyle w:val="Hyperlink"/>
          </w:rPr>
          <w:t>https://www.unepfi.org/fileadmin/documents/universal_ownership_full.pdf</w:t>
        </w:r>
      </w:hyperlink>
      <w:r w:rsidR="00907C29">
        <w:rPr>
          <w:color w:val="000000"/>
        </w:rPr>
        <w:t>, Appendix IV.</w:t>
      </w:r>
    </w:p>
  </w:footnote>
  <w:footnote w:id="28">
    <w:p w14:paraId="5F24A4D9" w14:textId="20AC989D" w:rsidR="004B6714" w:rsidRPr="00431C24" w:rsidRDefault="004B6714" w:rsidP="00431C24">
      <w:pPr>
        <w:pStyle w:val="FootnoteText"/>
      </w:pPr>
      <w:r w:rsidRPr="00431C24">
        <w:rPr>
          <w:rStyle w:val="FootnoteReference"/>
          <w:rFonts w:cstheme="majorHAnsi"/>
        </w:rPr>
        <w:footnoteRef/>
      </w:r>
      <w:r w:rsidRPr="00431C24">
        <w:t xml:space="preserve"> </w:t>
      </w:r>
      <w:r w:rsidR="00E73435" w:rsidRPr="00431C24">
        <w:rPr>
          <w:rFonts w:cstheme="majorHAnsi"/>
        </w:rPr>
        <w:t xml:space="preserve">Warren Buffett and Carol Loomis, “Warren Buffett on the Stock Market,” </w:t>
      </w:r>
      <w:r w:rsidR="00E73435" w:rsidRPr="00431C24">
        <w:rPr>
          <w:rFonts w:cstheme="majorHAnsi"/>
          <w:i/>
          <w:iCs/>
        </w:rPr>
        <w:t>Fortune Magazine</w:t>
      </w:r>
      <w:r w:rsidR="00E73435" w:rsidRPr="00431C24">
        <w:rPr>
          <w:rFonts w:cstheme="majorHAnsi"/>
        </w:rPr>
        <w:t xml:space="preserve"> (December 10, 2001), available at </w:t>
      </w:r>
      <w:hyperlink r:id="rId19" w:history="1">
        <w:r w:rsidR="00E73435" w:rsidRPr="00431C24">
          <w:rPr>
            <w:rStyle w:val="Hyperlink"/>
            <w:rFonts w:cstheme="majorHAnsi"/>
          </w:rPr>
          <w:t>https://archive.fortune.com/magazines/fortune/fortune_archive/2001/12/10/314691/index.htm</w:t>
        </w:r>
      </w:hyperlink>
      <w:r w:rsidR="00E73435" w:rsidRPr="00431C24">
        <w:rPr>
          <w:rFonts w:cstheme="majorHAnsi"/>
        </w:rPr>
        <w:t>.</w:t>
      </w:r>
    </w:p>
  </w:footnote>
  <w:footnote w:id="29">
    <w:p w14:paraId="20B755EF" w14:textId="77777777" w:rsidR="005847DF" w:rsidRDefault="005847DF" w:rsidP="005847DF">
      <w:pPr>
        <w:pStyle w:val="FootnoteText"/>
      </w:pPr>
      <w:r>
        <w:rPr>
          <w:rStyle w:val="FootnoteReference"/>
        </w:rPr>
        <w:footnoteRef/>
      </w:r>
      <w:r>
        <w:t xml:space="preserve"> The Shareholder Commons, “Living Wage &amp; the Engagement Gap: Using a Systems Lens to Build Portfolio Value through Improved Wages,” November, 2023, </w:t>
      </w:r>
      <w:hyperlink r:id="rId20" w:history="1">
        <w:r w:rsidRPr="008F70B7">
          <w:rPr>
            <w:rStyle w:val="Hyperlink"/>
          </w:rPr>
          <w:t>https://theshareholdercommons.com/case-studies/labor-and-inequality-case-study/</w:t>
        </w:r>
      </w:hyperlink>
      <w:r>
        <w:t xml:space="preserve">. </w:t>
      </w:r>
    </w:p>
  </w:footnote>
  <w:footnote w:id="30">
    <w:p w14:paraId="3468697F" w14:textId="77777777" w:rsidR="005847DF" w:rsidRPr="006B73C2" w:rsidRDefault="005847DF" w:rsidP="005847DF">
      <w:pPr>
        <w:pStyle w:val="FootnoteText"/>
        <w:rPr>
          <w:b/>
          <w:bCs/>
        </w:rPr>
      </w:pPr>
      <w:r>
        <w:rPr>
          <w:rStyle w:val="FootnoteReference"/>
        </w:rPr>
        <w:footnoteRef/>
      </w:r>
      <w:r>
        <w:t xml:space="preserve"> </w:t>
      </w:r>
      <w:r w:rsidRPr="006B73C2">
        <w:t xml:space="preserve">Josh Bivens and Asha Banerjee, “Inequality’s Drag on Aggregate Demand -  The Macroeconomic and Fiscal Effects of Rising Income Shares of the Rich” (Economic Policy Institute, 2022), </w:t>
      </w:r>
      <w:hyperlink r:id="rId21" w:anchor=":~:text=By%20redistributing%20income%20from%20lower,about%201.5%25%20of%20GDP%20annually" w:history="1">
        <w:r w:rsidRPr="002A349F">
          <w:rPr>
            <w:rStyle w:val="Hyperlink"/>
          </w:rPr>
          <w:t>https://www.epi.org/publication/inequalitys-drag-on-aggregate-demand/#:~:text=By%20redistributing%20income%20from%20lower,about%201.5%25%20of%20GDP%20annually</w:t>
        </w:r>
      </w:hyperlink>
      <w:r w:rsidRPr="006B73C2">
        <w:t>.</w:t>
      </w:r>
      <w:r>
        <w:t xml:space="preserve"> </w:t>
      </w:r>
    </w:p>
  </w:footnote>
  <w:footnote w:id="31">
    <w:p w14:paraId="24A40567" w14:textId="77777777" w:rsidR="005847DF" w:rsidRPr="00481827" w:rsidRDefault="005847DF" w:rsidP="005847DF">
      <w:pPr>
        <w:pStyle w:val="FootnoteText"/>
      </w:pPr>
      <w:r>
        <w:rPr>
          <w:rStyle w:val="FootnoteReference"/>
        </w:rPr>
        <w:footnoteRef/>
      </w:r>
      <w:r>
        <w:t xml:space="preserve"> </w:t>
      </w:r>
      <w:r w:rsidRPr="00037E8B">
        <w:t xml:space="preserve">Josh Bivens, “Inequality Is Slowing U.S. Economic Growth: Faster Wage Growth for Low- and Middle-Wage Workers Is the Solution” (Economic Policy Institute, December 12, 2017), </w:t>
      </w:r>
      <w:hyperlink r:id="rId22" w:history="1">
        <w:r w:rsidRPr="002A349F">
          <w:rPr>
            <w:rStyle w:val="Hyperlink"/>
          </w:rPr>
          <w:t>https://www.epi.org/publication/secular-stagnation/</w:t>
        </w:r>
      </w:hyperlink>
      <w:r w:rsidRPr="00037E8B">
        <w:t>.</w:t>
      </w:r>
      <w:r>
        <w:t xml:space="preserve"> </w:t>
      </w:r>
    </w:p>
  </w:footnote>
  <w:footnote w:id="32">
    <w:p w14:paraId="43701935" w14:textId="6C8065CD" w:rsidR="005847DF" w:rsidRDefault="005847DF" w:rsidP="005847DF">
      <w:pPr>
        <w:pStyle w:val="FootnoteText"/>
      </w:pPr>
      <w:r>
        <w:rPr>
          <w:rStyle w:val="FootnoteReference"/>
        </w:rPr>
        <w:footnoteRef/>
      </w:r>
      <w:r>
        <w:t xml:space="preserve"> </w:t>
      </w:r>
      <w:r w:rsidRPr="00550D65">
        <w:t xml:space="preserve">Federal Reserve Bank of San Francisco et al., “The Economic Gains from Equity,” Federal Reserve Bank of San Francisco, Working Paper Series, April 7, 2021, 1.000-30.000, </w:t>
      </w:r>
      <w:hyperlink r:id="rId23" w:history="1">
        <w:r w:rsidR="00BE6C8F" w:rsidRPr="00ED7A1F">
          <w:rPr>
            <w:rStyle w:val="Hyperlink"/>
          </w:rPr>
          <w:t>https://doi.org/10.24148/wp2021-11</w:t>
        </w:r>
      </w:hyperlink>
      <w:r w:rsidR="00BE6C8F">
        <w:t xml:space="preserve">. </w:t>
      </w:r>
    </w:p>
  </w:footnote>
  <w:footnote w:id="33">
    <w:p w14:paraId="3E83E976" w14:textId="77777777" w:rsidR="005847DF" w:rsidRDefault="005847DF" w:rsidP="005847DF">
      <w:pPr>
        <w:pStyle w:val="FootnoteText"/>
      </w:pPr>
      <w:r>
        <w:rPr>
          <w:rStyle w:val="FootnoteReference"/>
        </w:rPr>
        <w:footnoteRef/>
      </w:r>
      <w:r>
        <w:t xml:space="preserve"> </w:t>
      </w:r>
      <w:r w:rsidRPr="00096C97">
        <w:t xml:space="preserve">Dana Peterson and Catherine Mann, “Closing the Racial Inequality Gaps: The Economic Cost of Black Inequality in the U.S.” (Citi, September 2020), </w:t>
      </w:r>
      <w:hyperlink r:id="rId24" w:history="1">
        <w:r w:rsidRPr="008F70B7">
          <w:rPr>
            <w:rStyle w:val="Hyperlink"/>
          </w:rPr>
          <w:t>https://ir.citi.com/%2FPRxPvgNWu319AU1ajGf%2BsKbjJjBJSaTOSdw2DF4xynPwFB8a2jV1FaA3Idy7vY59bOtN2lxVQM=</w:t>
        </w:r>
      </w:hyperlink>
      <w:r>
        <w:t xml:space="preserve">. </w:t>
      </w:r>
    </w:p>
  </w:footnote>
  <w:footnote w:id="34">
    <w:p w14:paraId="65A01A39" w14:textId="77777777" w:rsidR="005847DF" w:rsidRPr="0018696E" w:rsidRDefault="005847DF" w:rsidP="005847DF">
      <w:pPr>
        <w:pStyle w:val="FootnoteText"/>
      </w:pPr>
      <w:r w:rsidRPr="0018696E">
        <w:rPr>
          <w:rStyle w:val="FootnoteReference"/>
        </w:rPr>
        <w:footnoteRef/>
      </w:r>
      <w:r w:rsidRPr="0018696E">
        <w:t xml:space="preserve"> </w:t>
      </w:r>
      <w:r w:rsidRPr="00380107">
        <w:t xml:space="preserve">The Business Commission to Tackle Inequality, “Tackling Inequality: The Need and Opportunity for Business Action,” June 2022, </w:t>
      </w:r>
      <w:hyperlink r:id="rId25" w:history="1">
        <w:r w:rsidRPr="008F70B7">
          <w:rPr>
            <w:rStyle w:val="Hyperlink"/>
          </w:rPr>
          <w:t>https://tacklinginequality.org/files/introduction.pdf</w:t>
        </w:r>
      </w:hyperlink>
      <w:r>
        <w:t>.</w:t>
      </w:r>
    </w:p>
  </w:footnote>
  <w:footnote w:id="35">
    <w:p w14:paraId="4A1AEC0D" w14:textId="77777777" w:rsidR="005847DF" w:rsidRPr="009D3DA3" w:rsidRDefault="005847DF" w:rsidP="005847DF">
      <w:pPr>
        <w:pStyle w:val="FootnoteText"/>
      </w:pPr>
      <w:r w:rsidRPr="009D3DA3">
        <w:rPr>
          <w:rStyle w:val="FootnoteReference"/>
          <w:rFonts w:cstheme="majorHAnsi"/>
        </w:rPr>
        <w:footnoteRef/>
      </w:r>
      <w:r w:rsidRPr="009D3DA3">
        <w:t xml:space="preserve"> </w:t>
      </w:r>
      <w:r w:rsidRPr="002F12AF">
        <w:rPr>
          <w:i/>
          <w:iCs/>
        </w:rPr>
        <w:t>Ibid</w:t>
      </w:r>
      <w:r w:rsidRPr="009D3DA3">
        <w:t xml:space="preserve"> n.</w:t>
      </w:r>
      <w:r>
        <w:t>15</w:t>
      </w:r>
      <w:r w:rsidRPr="009D3DA3">
        <w:t>.</w:t>
      </w:r>
    </w:p>
  </w:footnote>
  <w:footnote w:id="36">
    <w:p w14:paraId="05DE856B" w14:textId="77777777" w:rsidR="005847DF" w:rsidRDefault="005847DF" w:rsidP="005847DF">
      <w:pPr>
        <w:pStyle w:val="FootnoteText"/>
      </w:pPr>
      <w:r>
        <w:rPr>
          <w:rStyle w:val="FootnoteReference"/>
        </w:rPr>
        <w:footnoteRef/>
      </w:r>
      <w:r>
        <w:t xml:space="preserve"> International Monetary Fund, </w:t>
      </w:r>
      <w:r w:rsidRPr="00C818CC">
        <w:rPr>
          <w:i/>
          <w:iCs/>
        </w:rPr>
        <w:t>IMF Fiscal Monitor: Tackling Inequality</w:t>
      </w:r>
      <w:r>
        <w:t xml:space="preserve"> (October 2017), available at </w:t>
      </w:r>
      <w:hyperlink r:id="rId26" w:history="1">
        <w:r w:rsidRPr="00C23080">
          <w:rPr>
            <w:rStyle w:val="Hyperlink"/>
          </w:rPr>
          <w:t>https://www.imf.org/en/publications/fm/issues/2017/10/05/fiscal-monitor-october-2017</w:t>
        </w:r>
      </w:hyperlink>
      <w:r>
        <w:t xml:space="preserve">. </w:t>
      </w:r>
    </w:p>
  </w:footnote>
  <w:footnote w:id="37">
    <w:p w14:paraId="44B1136B" w14:textId="77777777" w:rsidR="005847DF" w:rsidRDefault="005847DF" w:rsidP="005847DF">
      <w:pPr>
        <w:pStyle w:val="FootnoteText"/>
      </w:pPr>
      <w:r>
        <w:rPr>
          <w:rStyle w:val="FootnoteReference"/>
        </w:rPr>
        <w:footnoteRef/>
      </w:r>
      <w:r>
        <w:t xml:space="preserve"> A</w:t>
      </w:r>
      <w:r w:rsidRPr="00982515">
        <w:t xml:space="preserve">nne </w:t>
      </w:r>
      <w:proofErr w:type="spellStart"/>
      <w:r w:rsidRPr="00982515">
        <w:t>Matusewicz</w:t>
      </w:r>
      <w:proofErr w:type="spellEnd"/>
      <w:r w:rsidRPr="00982515">
        <w:t xml:space="preserve"> and Henry Mason, “Facing Hard Truths: The Material Risk of Rising Inequality,” Pensions &amp; Investments, September 16, 2020, </w:t>
      </w:r>
      <w:hyperlink r:id="rId27" w:history="1">
        <w:r w:rsidRPr="002A349F">
          <w:rPr>
            <w:rStyle w:val="Hyperlink"/>
          </w:rPr>
          <w:t>https://www.pionline.com/sponsored-content/facing-hard-truths-material-risk-rising-inequality</w:t>
        </w:r>
      </w:hyperlink>
      <w:r w:rsidRPr="00982515">
        <w:t>.</w:t>
      </w:r>
      <w:r>
        <w:t xml:space="preserve"> </w:t>
      </w:r>
    </w:p>
  </w:footnote>
  <w:footnote w:id="38">
    <w:p w14:paraId="5842B687" w14:textId="77777777" w:rsidR="005847DF" w:rsidRDefault="005847DF" w:rsidP="005847DF">
      <w:pPr>
        <w:pStyle w:val="FootnoteText"/>
      </w:pPr>
      <w:r>
        <w:rPr>
          <w:rStyle w:val="FootnoteReference"/>
        </w:rPr>
        <w:footnoteRef/>
      </w:r>
      <w:r>
        <w:t xml:space="preserve"> </w:t>
      </w:r>
      <w:r w:rsidRPr="00982515">
        <w:t xml:space="preserve">Katrina L. </w:t>
      </w:r>
      <w:proofErr w:type="spellStart"/>
      <w:r w:rsidRPr="00982515">
        <w:t>Kezios</w:t>
      </w:r>
      <w:proofErr w:type="spellEnd"/>
      <w:r w:rsidRPr="00982515">
        <w:t xml:space="preserve"> et al., “History of Low Hourly Wage and All-Cause Mortality Among Middle-Aged Workers,” JAMA 329, no. 7 (February 21, 2023): 561, </w:t>
      </w:r>
      <w:hyperlink r:id="rId28" w:history="1">
        <w:r w:rsidRPr="002A349F">
          <w:rPr>
            <w:rStyle w:val="Hyperlink"/>
          </w:rPr>
          <w:t>https://doi.org/10.1001/jama.2023.0367</w:t>
        </w:r>
      </w:hyperlink>
      <w:r w:rsidRPr="00982515">
        <w:t>.</w:t>
      </w:r>
      <w:r>
        <w:t xml:space="preserve"> </w:t>
      </w:r>
    </w:p>
  </w:footnote>
  <w:footnote w:id="39">
    <w:p w14:paraId="12613DE6" w14:textId="77777777" w:rsidR="005847DF" w:rsidRDefault="005847DF" w:rsidP="005847DF">
      <w:pPr>
        <w:pStyle w:val="FootnoteText"/>
      </w:pPr>
      <w:r>
        <w:rPr>
          <w:rStyle w:val="FootnoteReference"/>
        </w:rPr>
        <w:footnoteRef/>
      </w:r>
      <w:r>
        <w:t xml:space="preserve"> </w:t>
      </w:r>
      <w:r w:rsidRPr="007762E8">
        <w:t xml:space="preserve">Blake C. Alkire et al., “The Economic Consequences Of Mortality Amenable To High-Quality Health Care In Low- And Middle-Income Countries,” Health Affairs 37, no. 6 (June 2018): 988–96, </w:t>
      </w:r>
      <w:hyperlink r:id="rId29" w:history="1">
        <w:r w:rsidRPr="002A349F">
          <w:rPr>
            <w:rStyle w:val="Hyperlink"/>
          </w:rPr>
          <w:t>https://doi.org/10.1377/hlthaff.2017.1233</w:t>
        </w:r>
      </w:hyperlink>
      <w:r w:rsidRPr="007762E8">
        <w:t>.</w:t>
      </w:r>
      <w:r>
        <w:t xml:space="preserve"> </w:t>
      </w:r>
    </w:p>
  </w:footnote>
  <w:footnote w:id="40">
    <w:p w14:paraId="379066C3" w14:textId="77777777" w:rsidR="005847DF" w:rsidRDefault="005847DF" w:rsidP="005847DF">
      <w:pPr>
        <w:pStyle w:val="FootnoteText"/>
      </w:pPr>
      <w:r>
        <w:rPr>
          <w:rStyle w:val="FootnoteReference"/>
        </w:rPr>
        <w:footnoteRef/>
      </w:r>
      <w:r>
        <w:t xml:space="preserve"> United States Government Accountability Office, Federal Social Safety Net Programs: Millions of Full-Time Workers Rely on Federal Health Care and Food Assistance Programs (October 2020), available at </w:t>
      </w:r>
      <w:hyperlink r:id="rId30" w:history="1">
        <w:r w:rsidRPr="002A349F">
          <w:rPr>
            <w:rStyle w:val="Hyperlink"/>
          </w:rPr>
          <w:t>https://www.gao.gov/assets/gao-21-45.pdf</w:t>
        </w:r>
      </w:hyperlink>
      <w:r>
        <w:t xml:space="preserve">. </w:t>
      </w:r>
    </w:p>
  </w:footnote>
  <w:footnote w:id="41">
    <w:p w14:paraId="39C3283F" w14:textId="77777777" w:rsidR="005847DF" w:rsidRPr="00AF0576" w:rsidRDefault="005847DF" w:rsidP="005847DF">
      <w:pPr>
        <w:pStyle w:val="FootnoteText"/>
      </w:pPr>
      <w:r>
        <w:rPr>
          <w:rStyle w:val="FootnoteReference"/>
        </w:rPr>
        <w:footnoteRef/>
      </w:r>
      <w:r>
        <w:t xml:space="preserve"> </w:t>
      </w:r>
      <w:r w:rsidRPr="001E1DF0">
        <w:rPr>
          <w:i/>
          <w:iCs/>
        </w:rPr>
        <w:t>Ibid</w:t>
      </w:r>
      <w:r>
        <w:t>.</w:t>
      </w:r>
    </w:p>
  </w:footnote>
  <w:footnote w:id="42">
    <w:p w14:paraId="3CE59B31" w14:textId="77777777" w:rsidR="00854289" w:rsidRPr="0066388E" w:rsidRDefault="00854289" w:rsidP="00854289">
      <w:pPr>
        <w:pStyle w:val="FootnoteText"/>
      </w:pPr>
      <w:r w:rsidRPr="0066388E">
        <w:rPr>
          <w:rStyle w:val="FootnoteReference"/>
          <w:rFonts w:cstheme="majorHAnsi"/>
        </w:rPr>
        <w:footnoteRef/>
      </w:r>
      <w:r w:rsidRPr="0066388E">
        <w:t xml:space="preserve"> </w:t>
      </w:r>
      <w:r w:rsidRPr="0066388E">
        <w:rPr>
          <w:i/>
        </w:rPr>
        <w:t xml:space="preserve">See, e.g., </w:t>
      </w:r>
      <w:r w:rsidRPr="004F6185">
        <w:rPr>
          <w:iCs/>
        </w:rPr>
        <w:t xml:space="preserve">Kaushik Basu, </w:t>
      </w:r>
      <w:r w:rsidRPr="003D6596">
        <w:rPr>
          <w:i/>
        </w:rPr>
        <w:t>Beyond the Invisible Hand: Groundwork for a New Economics</w:t>
      </w:r>
      <w:r>
        <w:rPr>
          <w:iCs/>
        </w:rPr>
        <w:t>,</w:t>
      </w:r>
      <w:r w:rsidRPr="0066388E">
        <w:t xml:space="preserve"> </w:t>
      </w:r>
      <w:r>
        <w:t>(</w:t>
      </w:r>
      <w:r>
        <w:rPr>
          <w:iCs/>
        </w:rPr>
        <w:t>Princeton University Press, 2011), p.10</w:t>
      </w:r>
      <w:r w:rsidRPr="0066388E">
        <w:t xml:space="preserve"> (explaining the First Fundamental Theorem of Welfare Economics as the strict conditions (including the absence of externalities) under which competition for profit produces optimal social outcomes).</w:t>
      </w:r>
    </w:p>
  </w:footnote>
  <w:footnote w:id="43">
    <w:p w14:paraId="4F7F867C" w14:textId="77777777" w:rsidR="00854289" w:rsidRPr="0066388E" w:rsidRDefault="00854289" w:rsidP="00854289">
      <w:pPr>
        <w:pStyle w:val="FootnoteText"/>
      </w:pPr>
      <w:r w:rsidRPr="0066388E">
        <w:rPr>
          <w:rStyle w:val="FootnoteReference"/>
          <w:rFonts w:cstheme="majorHAnsi"/>
        </w:rPr>
        <w:footnoteRef/>
      </w:r>
      <w:r w:rsidRPr="0066388E">
        <w:t xml:space="preserve"> </w:t>
      </w:r>
      <w:r>
        <w:rPr>
          <w:color w:val="000000"/>
        </w:rPr>
        <w:t>Andrew Howard, “</w:t>
      </w:r>
      <w:proofErr w:type="spellStart"/>
      <w:r>
        <w:rPr>
          <w:color w:val="000000"/>
        </w:rPr>
        <w:t>SustainEx</w:t>
      </w:r>
      <w:proofErr w:type="spellEnd"/>
      <w:r>
        <w:rPr>
          <w:color w:val="000000"/>
        </w:rPr>
        <w:t xml:space="preserve">: Examining the Social Value of Corporate Activities” (Schroders, April 2019), </w:t>
      </w:r>
      <w:hyperlink r:id="rId31" w:history="1">
        <w:r w:rsidRPr="002C3C64">
          <w:rPr>
            <w:rStyle w:val="Hyperlink"/>
          </w:rPr>
          <w:t>https://www.schroders.com/en-ch/ch/professional/insights/sustainex-quantifying-the-hidden-costs-of-companies-social-impacts/</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43C9" w14:textId="0DFF0CE8" w:rsidR="006047D0" w:rsidRDefault="006047D0" w:rsidP="00FF74AC">
    <w:pPr>
      <w:pStyle w:val="Header"/>
      <w:rPr>
        <w:noProof/>
      </w:rPr>
    </w:pPr>
    <w:r w:rsidRPr="003231C3">
      <w:rPr>
        <w:noProof/>
        <w:lang w:bidi="ar-SA"/>
      </w:rPr>
      <w:drawing>
        <wp:inline distT="0" distB="0" distL="0" distR="0" wp14:anchorId="161D6C8D" wp14:editId="01DA205D">
          <wp:extent cx="1073150" cy="107315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p w14:paraId="0C9EE1B2" w14:textId="77777777" w:rsidR="006047D0" w:rsidRPr="003D54C1" w:rsidRDefault="006047D0" w:rsidP="00FF74AC">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506"/>
    <w:multiLevelType w:val="hybridMultilevel"/>
    <w:tmpl w:val="6C9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71FC3"/>
    <w:multiLevelType w:val="hybridMultilevel"/>
    <w:tmpl w:val="36D4C97A"/>
    <w:lvl w:ilvl="0" w:tplc="35AEB6D0">
      <w:start w:val="1"/>
      <w:numFmt w:val="upperLetter"/>
      <w:pStyle w:val="Heading1"/>
      <w:lvlText w:val="%1."/>
      <w:lvlJc w:val="left"/>
      <w:pPr>
        <w:ind w:left="1080" w:hanging="360"/>
      </w:pPr>
      <w:rPr>
        <w:rFonts w:asciiTheme="majorHAnsi" w:hAnsiTheme="majorHAnsi" w:cstheme="maj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04027A"/>
    <w:multiLevelType w:val="hybridMultilevel"/>
    <w:tmpl w:val="874A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46436"/>
    <w:multiLevelType w:val="hybridMultilevel"/>
    <w:tmpl w:val="6FD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B545D"/>
    <w:multiLevelType w:val="hybridMultilevel"/>
    <w:tmpl w:val="84E25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D0305"/>
    <w:multiLevelType w:val="hybridMultilevel"/>
    <w:tmpl w:val="FDCC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AA0C80"/>
    <w:multiLevelType w:val="hybridMultilevel"/>
    <w:tmpl w:val="74FE9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35955"/>
    <w:multiLevelType w:val="hybridMultilevel"/>
    <w:tmpl w:val="75C6CBF6"/>
    <w:lvl w:ilvl="0" w:tplc="3A32ED72">
      <w:start w:val="1"/>
      <w:numFmt w:val="decimal"/>
      <w:pStyle w:val="Heading2"/>
      <w:lvlText w:val="%1."/>
      <w:lvlJc w:val="left"/>
      <w:pPr>
        <w:ind w:left="1080" w:hanging="360"/>
      </w:pPr>
      <w:rPr>
        <w:rFonts w:hint="default"/>
        <w:b/>
        <w:bCs w:val="0"/>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165449"/>
    <w:multiLevelType w:val="hybridMultilevel"/>
    <w:tmpl w:val="F424D2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B065F1"/>
    <w:multiLevelType w:val="hybridMultilevel"/>
    <w:tmpl w:val="473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731984">
    <w:abstractNumId w:val="2"/>
  </w:num>
  <w:num w:numId="2" w16cid:durableId="663893408">
    <w:abstractNumId w:val="1"/>
  </w:num>
  <w:num w:numId="3" w16cid:durableId="564872733">
    <w:abstractNumId w:val="7"/>
    <w:lvlOverride w:ilvl="0">
      <w:startOverride w:val="1"/>
    </w:lvlOverride>
  </w:num>
  <w:num w:numId="4" w16cid:durableId="1442801586">
    <w:abstractNumId w:val="5"/>
  </w:num>
  <w:num w:numId="5" w16cid:durableId="446432150">
    <w:abstractNumId w:val="7"/>
  </w:num>
  <w:num w:numId="6" w16cid:durableId="107163668">
    <w:abstractNumId w:val="7"/>
    <w:lvlOverride w:ilvl="0">
      <w:startOverride w:val="1"/>
    </w:lvlOverride>
  </w:num>
  <w:num w:numId="7" w16cid:durableId="815221477">
    <w:abstractNumId w:val="4"/>
  </w:num>
  <w:num w:numId="8" w16cid:durableId="2018845690">
    <w:abstractNumId w:val="3"/>
  </w:num>
  <w:num w:numId="9" w16cid:durableId="113867263">
    <w:abstractNumId w:val="0"/>
  </w:num>
  <w:num w:numId="10" w16cid:durableId="1515728017">
    <w:abstractNumId w:val="9"/>
  </w:num>
  <w:num w:numId="11" w16cid:durableId="835195831">
    <w:abstractNumId w:val="8"/>
  </w:num>
  <w:num w:numId="12" w16cid:durableId="655694176">
    <w:abstractNumId w:val="6"/>
  </w:num>
  <w:num w:numId="13" w16cid:durableId="1810130134">
    <w:abstractNumId w:val="1"/>
    <w:lvlOverride w:ilvl="0">
      <w:startOverride w:val="1"/>
    </w:lvlOverride>
  </w:num>
  <w:num w:numId="14" w16cid:durableId="17720485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91"/>
    <w:rsid w:val="000005FB"/>
    <w:rsid w:val="000008D7"/>
    <w:rsid w:val="0000117E"/>
    <w:rsid w:val="00001287"/>
    <w:rsid w:val="00001686"/>
    <w:rsid w:val="00002294"/>
    <w:rsid w:val="00002B95"/>
    <w:rsid w:val="00002C31"/>
    <w:rsid w:val="00003270"/>
    <w:rsid w:val="00003D80"/>
    <w:rsid w:val="0000423D"/>
    <w:rsid w:val="00004373"/>
    <w:rsid w:val="00005BDB"/>
    <w:rsid w:val="00006835"/>
    <w:rsid w:val="00006B98"/>
    <w:rsid w:val="00007700"/>
    <w:rsid w:val="000102BD"/>
    <w:rsid w:val="00010A8D"/>
    <w:rsid w:val="00010EFF"/>
    <w:rsid w:val="0001165A"/>
    <w:rsid w:val="0001171A"/>
    <w:rsid w:val="000119AD"/>
    <w:rsid w:val="00012746"/>
    <w:rsid w:val="00012A1D"/>
    <w:rsid w:val="00013F35"/>
    <w:rsid w:val="0001445B"/>
    <w:rsid w:val="00016323"/>
    <w:rsid w:val="00017A10"/>
    <w:rsid w:val="00020C27"/>
    <w:rsid w:val="00021644"/>
    <w:rsid w:val="00021AE9"/>
    <w:rsid w:val="000221B6"/>
    <w:rsid w:val="00022386"/>
    <w:rsid w:val="000223ED"/>
    <w:rsid w:val="00023A34"/>
    <w:rsid w:val="00023B03"/>
    <w:rsid w:val="0002453B"/>
    <w:rsid w:val="00024CEE"/>
    <w:rsid w:val="00025D33"/>
    <w:rsid w:val="00025FCB"/>
    <w:rsid w:val="00026281"/>
    <w:rsid w:val="000263BC"/>
    <w:rsid w:val="00026A42"/>
    <w:rsid w:val="00026DCE"/>
    <w:rsid w:val="00026E22"/>
    <w:rsid w:val="0002703E"/>
    <w:rsid w:val="00027073"/>
    <w:rsid w:val="00027F16"/>
    <w:rsid w:val="000306DC"/>
    <w:rsid w:val="00030AD7"/>
    <w:rsid w:val="000334E2"/>
    <w:rsid w:val="00033B6F"/>
    <w:rsid w:val="000340E2"/>
    <w:rsid w:val="00034119"/>
    <w:rsid w:val="000347F3"/>
    <w:rsid w:val="00034EBA"/>
    <w:rsid w:val="00035052"/>
    <w:rsid w:val="000350BC"/>
    <w:rsid w:val="000362E4"/>
    <w:rsid w:val="00037696"/>
    <w:rsid w:val="000404F8"/>
    <w:rsid w:val="0004114E"/>
    <w:rsid w:val="00041165"/>
    <w:rsid w:val="0004144D"/>
    <w:rsid w:val="00041E04"/>
    <w:rsid w:val="00042158"/>
    <w:rsid w:val="000423C6"/>
    <w:rsid w:val="00042763"/>
    <w:rsid w:val="00042E53"/>
    <w:rsid w:val="0004349E"/>
    <w:rsid w:val="000435CE"/>
    <w:rsid w:val="000437B5"/>
    <w:rsid w:val="000438BB"/>
    <w:rsid w:val="00043A43"/>
    <w:rsid w:val="00043F4B"/>
    <w:rsid w:val="0004499C"/>
    <w:rsid w:val="00045005"/>
    <w:rsid w:val="000451A5"/>
    <w:rsid w:val="000451E8"/>
    <w:rsid w:val="000466AE"/>
    <w:rsid w:val="00046AA8"/>
    <w:rsid w:val="0004704B"/>
    <w:rsid w:val="00047741"/>
    <w:rsid w:val="000478E4"/>
    <w:rsid w:val="0004791A"/>
    <w:rsid w:val="00047B03"/>
    <w:rsid w:val="00047F38"/>
    <w:rsid w:val="000504AB"/>
    <w:rsid w:val="00050BB0"/>
    <w:rsid w:val="00051110"/>
    <w:rsid w:val="00051CA2"/>
    <w:rsid w:val="00052579"/>
    <w:rsid w:val="000528B8"/>
    <w:rsid w:val="00052A39"/>
    <w:rsid w:val="00053BBB"/>
    <w:rsid w:val="00054953"/>
    <w:rsid w:val="00054B6B"/>
    <w:rsid w:val="00055554"/>
    <w:rsid w:val="00056741"/>
    <w:rsid w:val="00056B7F"/>
    <w:rsid w:val="00056D3D"/>
    <w:rsid w:val="00057918"/>
    <w:rsid w:val="00057A95"/>
    <w:rsid w:val="0006045D"/>
    <w:rsid w:val="000604B4"/>
    <w:rsid w:val="00060847"/>
    <w:rsid w:val="00061462"/>
    <w:rsid w:val="00061D07"/>
    <w:rsid w:val="00061E55"/>
    <w:rsid w:val="00061E62"/>
    <w:rsid w:val="00063A22"/>
    <w:rsid w:val="00064A54"/>
    <w:rsid w:val="00064D2F"/>
    <w:rsid w:val="0006562F"/>
    <w:rsid w:val="000658E6"/>
    <w:rsid w:val="00066706"/>
    <w:rsid w:val="0007099B"/>
    <w:rsid w:val="00070C4D"/>
    <w:rsid w:val="00070F96"/>
    <w:rsid w:val="000719F5"/>
    <w:rsid w:val="00072A47"/>
    <w:rsid w:val="00072B70"/>
    <w:rsid w:val="00072EEE"/>
    <w:rsid w:val="000750D0"/>
    <w:rsid w:val="0007690A"/>
    <w:rsid w:val="00076BC5"/>
    <w:rsid w:val="000770F5"/>
    <w:rsid w:val="0007736F"/>
    <w:rsid w:val="000777B2"/>
    <w:rsid w:val="00077831"/>
    <w:rsid w:val="00077B31"/>
    <w:rsid w:val="00080853"/>
    <w:rsid w:val="0008256E"/>
    <w:rsid w:val="00082D07"/>
    <w:rsid w:val="00083561"/>
    <w:rsid w:val="00083984"/>
    <w:rsid w:val="000841AB"/>
    <w:rsid w:val="000843DE"/>
    <w:rsid w:val="00084940"/>
    <w:rsid w:val="00084DDC"/>
    <w:rsid w:val="00084E27"/>
    <w:rsid w:val="00084F5B"/>
    <w:rsid w:val="000852F1"/>
    <w:rsid w:val="00085C67"/>
    <w:rsid w:val="00085D2A"/>
    <w:rsid w:val="00087B84"/>
    <w:rsid w:val="00090574"/>
    <w:rsid w:val="00090C3B"/>
    <w:rsid w:val="0009194A"/>
    <w:rsid w:val="00091B71"/>
    <w:rsid w:val="00092032"/>
    <w:rsid w:val="0009226E"/>
    <w:rsid w:val="000925CA"/>
    <w:rsid w:val="00092839"/>
    <w:rsid w:val="00092BB2"/>
    <w:rsid w:val="00092E70"/>
    <w:rsid w:val="000935E1"/>
    <w:rsid w:val="00094118"/>
    <w:rsid w:val="00094676"/>
    <w:rsid w:val="0009491F"/>
    <w:rsid w:val="00094A84"/>
    <w:rsid w:val="000952AD"/>
    <w:rsid w:val="00095881"/>
    <w:rsid w:val="00095D6A"/>
    <w:rsid w:val="00096023"/>
    <w:rsid w:val="00096313"/>
    <w:rsid w:val="000966B2"/>
    <w:rsid w:val="000974F2"/>
    <w:rsid w:val="00097BD2"/>
    <w:rsid w:val="00097E09"/>
    <w:rsid w:val="000A0DF4"/>
    <w:rsid w:val="000A0FB3"/>
    <w:rsid w:val="000A2209"/>
    <w:rsid w:val="000A2511"/>
    <w:rsid w:val="000A28B8"/>
    <w:rsid w:val="000A2DC5"/>
    <w:rsid w:val="000A2E78"/>
    <w:rsid w:val="000A3120"/>
    <w:rsid w:val="000A3B13"/>
    <w:rsid w:val="000A3FE7"/>
    <w:rsid w:val="000A51B6"/>
    <w:rsid w:val="000A5621"/>
    <w:rsid w:val="000A57A4"/>
    <w:rsid w:val="000A5CB9"/>
    <w:rsid w:val="000A5EC1"/>
    <w:rsid w:val="000A6996"/>
    <w:rsid w:val="000A6DDE"/>
    <w:rsid w:val="000A7074"/>
    <w:rsid w:val="000A7747"/>
    <w:rsid w:val="000A7A9B"/>
    <w:rsid w:val="000A7ADD"/>
    <w:rsid w:val="000B0705"/>
    <w:rsid w:val="000B0D7B"/>
    <w:rsid w:val="000B1B2F"/>
    <w:rsid w:val="000B3B41"/>
    <w:rsid w:val="000B3EBD"/>
    <w:rsid w:val="000B4215"/>
    <w:rsid w:val="000B4599"/>
    <w:rsid w:val="000B4688"/>
    <w:rsid w:val="000B5C70"/>
    <w:rsid w:val="000B5EB5"/>
    <w:rsid w:val="000B644E"/>
    <w:rsid w:val="000B6939"/>
    <w:rsid w:val="000B6CE7"/>
    <w:rsid w:val="000B6F3C"/>
    <w:rsid w:val="000B744C"/>
    <w:rsid w:val="000C04E9"/>
    <w:rsid w:val="000C0DD0"/>
    <w:rsid w:val="000C168C"/>
    <w:rsid w:val="000C1DD0"/>
    <w:rsid w:val="000C2115"/>
    <w:rsid w:val="000C3265"/>
    <w:rsid w:val="000C432D"/>
    <w:rsid w:val="000C43D3"/>
    <w:rsid w:val="000C5400"/>
    <w:rsid w:val="000C54BF"/>
    <w:rsid w:val="000C59DF"/>
    <w:rsid w:val="000C5EB4"/>
    <w:rsid w:val="000C6922"/>
    <w:rsid w:val="000C6AE5"/>
    <w:rsid w:val="000C776F"/>
    <w:rsid w:val="000C78B5"/>
    <w:rsid w:val="000D0ADE"/>
    <w:rsid w:val="000D11AE"/>
    <w:rsid w:val="000D1642"/>
    <w:rsid w:val="000D51A5"/>
    <w:rsid w:val="000D53AB"/>
    <w:rsid w:val="000D58B6"/>
    <w:rsid w:val="000D5E2D"/>
    <w:rsid w:val="000D5F87"/>
    <w:rsid w:val="000D6509"/>
    <w:rsid w:val="000D66DB"/>
    <w:rsid w:val="000D73F8"/>
    <w:rsid w:val="000D744D"/>
    <w:rsid w:val="000D75AB"/>
    <w:rsid w:val="000D766B"/>
    <w:rsid w:val="000D7995"/>
    <w:rsid w:val="000D7AF0"/>
    <w:rsid w:val="000D7E4C"/>
    <w:rsid w:val="000E03CE"/>
    <w:rsid w:val="000E093A"/>
    <w:rsid w:val="000E09A1"/>
    <w:rsid w:val="000E0EFB"/>
    <w:rsid w:val="000E1847"/>
    <w:rsid w:val="000E2CAB"/>
    <w:rsid w:val="000E2D8C"/>
    <w:rsid w:val="000E2FF6"/>
    <w:rsid w:val="000E3DE0"/>
    <w:rsid w:val="000E4282"/>
    <w:rsid w:val="000E4477"/>
    <w:rsid w:val="000E44D8"/>
    <w:rsid w:val="000E466C"/>
    <w:rsid w:val="000E6568"/>
    <w:rsid w:val="000E6B08"/>
    <w:rsid w:val="000E6C35"/>
    <w:rsid w:val="000E6D6C"/>
    <w:rsid w:val="000E7B2B"/>
    <w:rsid w:val="000E7D59"/>
    <w:rsid w:val="000E7FCA"/>
    <w:rsid w:val="000F0A05"/>
    <w:rsid w:val="000F107D"/>
    <w:rsid w:val="000F19F6"/>
    <w:rsid w:val="000F21CA"/>
    <w:rsid w:val="000F24E1"/>
    <w:rsid w:val="000F2B9A"/>
    <w:rsid w:val="000F2F2C"/>
    <w:rsid w:val="000F3E72"/>
    <w:rsid w:val="000F44F5"/>
    <w:rsid w:val="000F45B8"/>
    <w:rsid w:val="000F4772"/>
    <w:rsid w:val="000F4C6B"/>
    <w:rsid w:val="000F4CFB"/>
    <w:rsid w:val="000F6020"/>
    <w:rsid w:val="000F68CA"/>
    <w:rsid w:val="000F6BFD"/>
    <w:rsid w:val="000F6E7A"/>
    <w:rsid w:val="000F73B0"/>
    <w:rsid w:val="000F73EF"/>
    <w:rsid w:val="0010004B"/>
    <w:rsid w:val="001010D1"/>
    <w:rsid w:val="001011EB"/>
    <w:rsid w:val="00101244"/>
    <w:rsid w:val="00101262"/>
    <w:rsid w:val="00101308"/>
    <w:rsid w:val="0010144E"/>
    <w:rsid w:val="0010163B"/>
    <w:rsid w:val="001023A8"/>
    <w:rsid w:val="00103558"/>
    <w:rsid w:val="00103622"/>
    <w:rsid w:val="001045B6"/>
    <w:rsid w:val="00104620"/>
    <w:rsid w:val="0010601F"/>
    <w:rsid w:val="0010619A"/>
    <w:rsid w:val="00106BCA"/>
    <w:rsid w:val="00106DD7"/>
    <w:rsid w:val="00107391"/>
    <w:rsid w:val="00107C3F"/>
    <w:rsid w:val="00110498"/>
    <w:rsid w:val="001112E8"/>
    <w:rsid w:val="00111490"/>
    <w:rsid w:val="001118DD"/>
    <w:rsid w:val="001133F3"/>
    <w:rsid w:val="00113D81"/>
    <w:rsid w:val="00113DE4"/>
    <w:rsid w:val="001145CE"/>
    <w:rsid w:val="00115B6E"/>
    <w:rsid w:val="001176F4"/>
    <w:rsid w:val="00117D7E"/>
    <w:rsid w:val="001200F4"/>
    <w:rsid w:val="00121A8C"/>
    <w:rsid w:val="001235A8"/>
    <w:rsid w:val="00123E3C"/>
    <w:rsid w:val="00124493"/>
    <w:rsid w:val="00124D97"/>
    <w:rsid w:val="00125E2F"/>
    <w:rsid w:val="00126E51"/>
    <w:rsid w:val="0012722E"/>
    <w:rsid w:val="0012730C"/>
    <w:rsid w:val="001276B6"/>
    <w:rsid w:val="00127AF3"/>
    <w:rsid w:val="00127DB1"/>
    <w:rsid w:val="00127F9E"/>
    <w:rsid w:val="00130E6B"/>
    <w:rsid w:val="0013193F"/>
    <w:rsid w:val="00131ACD"/>
    <w:rsid w:val="00132681"/>
    <w:rsid w:val="001333B2"/>
    <w:rsid w:val="00133E5A"/>
    <w:rsid w:val="001355DC"/>
    <w:rsid w:val="00135601"/>
    <w:rsid w:val="00136AB2"/>
    <w:rsid w:val="00140BFB"/>
    <w:rsid w:val="00140CE4"/>
    <w:rsid w:val="001410F4"/>
    <w:rsid w:val="001411CF"/>
    <w:rsid w:val="00141AFB"/>
    <w:rsid w:val="00142724"/>
    <w:rsid w:val="00143166"/>
    <w:rsid w:val="00143A0C"/>
    <w:rsid w:val="001448F5"/>
    <w:rsid w:val="00144B15"/>
    <w:rsid w:val="00144B7F"/>
    <w:rsid w:val="00144F7C"/>
    <w:rsid w:val="001456BF"/>
    <w:rsid w:val="00145792"/>
    <w:rsid w:val="00146211"/>
    <w:rsid w:val="00147741"/>
    <w:rsid w:val="00150078"/>
    <w:rsid w:val="001504CD"/>
    <w:rsid w:val="0015117F"/>
    <w:rsid w:val="00151A4D"/>
    <w:rsid w:val="00152FD6"/>
    <w:rsid w:val="001532E3"/>
    <w:rsid w:val="00153A7C"/>
    <w:rsid w:val="00153BB7"/>
    <w:rsid w:val="00154506"/>
    <w:rsid w:val="001546E8"/>
    <w:rsid w:val="00154EA3"/>
    <w:rsid w:val="00154F48"/>
    <w:rsid w:val="00155339"/>
    <w:rsid w:val="001553BA"/>
    <w:rsid w:val="001555CC"/>
    <w:rsid w:val="00155937"/>
    <w:rsid w:val="00155A2C"/>
    <w:rsid w:val="00155E38"/>
    <w:rsid w:val="001600CA"/>
    <w:rsid w:val="00160496"/>
    <w:rsid w:val="00160961"/>
    <w:rsid w:val="00162395"/>
    <w:rsid w:val="001626DB"/>
    <w:rsid w:val="00162EC9"/>
    <w:rsid w:val="00162EE0"/>
    <w:rsid w:val="00163AE8"/>
    <w:rsid w:val="00163C3B"/>
    <w:rsid w:val="00163CC3"/>
    <w:rsid w:val="00163F90"/>
    <w:rsid w:val="00164026"/>
    <w:rsid w:val="001647C8"/>
    <w:rsid w:val="00165D68"/>
    <w:rsid w:val="00166706"/>
    <w:rsid w:val="0016755D"/>
    <w:rsid w:val="00167920"/>
    <w:rsid w:val="001709F8"/>
    <w:rsid w:val="001711E1"/>
    <w:rsid w:val="0017173B"/>
    <w:rsid w:val="0017177C"/>
    <w:rsid w:val="001718E6"/>
    <w:rsid w:val="00172782"/>
    <w:rsid w:val="00172787"/>
    <w:rsid w:val="00172E3C"/>
    <w:rsid w:val="001737B2"/>
    <w:rsid w:val="00173CBD"/>
    <w:rsid w:val="0017448D"/>
    <w:rsid w:val="00174BD8"/>
    <w:rsid w:val="0017527F"/>
    <w:rsid w:val="00175357"/>
    <w:rsid w:val="00175661"/>
    <w:rsid w:val="00176509"/>
    <w:rsid w:val="001774BE"/>
    <w:rsid w:val="00177A9E"/>
    <w:rsid w:val="00180364"/>
    <w:rsid w:val="00180FCD"/>
    <w:rsid w:val="00181B13"/>
    <w:rsid w:val="00182052"/>
    <w:rsid w:val="001820D1"/>
    <w:rsid w:val="0018273A"/>
    <w:rsid w:val="001836B3"/>
    <w:rsid w:val="00183AD6"/>
    <w:rsid w:val="0018417B"/>
    <w:rsid w:val="00184CC4"/>
    <w:rsid w:val="00184FB1"/>
    <w:rsid w:val="00185183"/>
    <w:rsid w:val="0018533F"/>
    <w:rsid w:val="001854D2"/>
    <w:rsid w:val="001857BE"/>
    <w:rsid w:val="00185E61"/>
    <w:rsid w:val="00186B12"/>
    <w:rsid w:val="00187441"/>
    <w:rsid w:val="00190BA4"/>
    <w:rsid w:val="00191618"/>
    <w:rsid w:val="001922E0"/>
    <w:rsid w:val="00194523"/>
    <w:rsid w:val="00195254"/>
    <w:rsid w:val="0019609D"/>
    <w:rsid w:val="001962AC"/>
    <w:rsid w:val="001962D4"/>
    <w:rsid w:val="00196485"/>
    <w:rsid w:val="001965FA"/>
    <w:rsid w:val="001A2565"/>
    <w:rsid w:val="001A2886"/>
    <w:rsid w:val="001A296C"/>
    <w:rsid w:val="001A2D4D"/>
    <w:rsid w:val="001A3C41"/>
    <w:rsid w:val="001A408A"/>
    <w:rsid w:val="001A47B1"/>
    <w:rsid w:val="001A6406"/>
    <w:rsid w:val="001A71EC"/>
    <w:rsid w:val="001A7274"/>
    <w:rsid w:val="001A79DE"/>
    <w:rsid w:val="001A7D60"/>
    <w:rsid w:val="001A7F0A"/>
    <w:rsid w:val="001B04EB"/>
    <w:rsid w:val="001B0BEE"/>
    <w:rsid w:val="001B1495"/>
    <w:rsid w:val="001B1675"/>
    <w:rsid w:val="001B2721"/>
    <w:rsid w:val="001B41D1"/>
    <w:rsid w:val="001B556F"/>
    <w:rsid w:val="001B5FD4"/>
    <w:rsid w:val="001B63AE"/>
    <w:rsid w:val="001B6EB6"/>
    <w:rsid w:val="001B72F3"/>
    <w:rsid w:val="001B7918"/>
    <w:rsid w:val="001C0399"/>
    <w:rsid w:val="001C0780"/>
    <w:rsid w:val="001C0CAB"/>
    <w:rsid w:val="001C10DD"/>
    <w:rsid w:val="001C138B"/>
    <w:rsid w:val="001C1B0B"/>
    <w:rsid w:val="001C2A35"/>
    <w:rsid w:val="001C2DDF"/>
    <w:rsid w:val="001C3B20"/>
    <w:rsid w:val="001C3FD1"/>
    <w:rsid w:val="001C427D"/>
    <w:rsid w:val="001C47E1"/>
    <w:rsid w:val="001C5B51"/>
    <w:rsid w:val="001C5CA9"/>
    <w:rsid w:val="001C5E51"/>
    <w:rsid w:val="001C6862"/>
    <w:rsid w:val="001C6A46"/>
    <w:rsid w:val="001C6C08"/>
    <w:rsid w:val="001C71D9"/>
    <w:rsid w:val="001C7678"/>
    <w:rsid w:val="001D01C1"/>
    <w:rsid w:val="001D107E"/>
    <w:rsid w:val="001D139F"/>
    <w:rsid w:val="001D1657"/>
    <w:rsid w:val="001D2D0E"/>
    <w:rsid w:val="001D3460"/>
    <w:rsid w:val="001D35D3"/>
    <w:rsid w:val="001D4253"/>
    <w:rsid w:val="001D492A"/>
    <w:rsid w:val="001D4AEF"/>
    <w:rsid w:val="001D4F99"/>
    <w:rsid w:val="001D5711"/>
    <w:rsid w:val="001D5B46"/>
    <w:rsid w:val="001D607F"/>
    <w:rsid w:val="001D672A"/>
    <w:rsid w:val="001D783F"/>
    <w:rsid w:val="001E007D"/>
    <w:rsid w:val="001E0100"/>
    <w:rsid w:val="001E0617"/>
    <w:rsid w:val="001E07CE"/>
    <w:rsid w:val="001E0E7D"/>
    <w:rsid w:val="001E1145"/>
    <w:rsid w:val="001E130D"/>
    <w:rsid w:val="001E1678"/>
    <w:rsid w:val="001E1698"/>
    <w:rsid w:val="001E300D"/>
    <w:rsid w:val="001E357F"/>
    <w:rsid w:val="001E4509"/>
    <w:rsid w:val="001E4C11"/>
    <w:rsid w:val="001E633B"/>
    <w:rsid w:val="001E6748"/>
    <w:rsid w:val="001E6C23"/>
    <w:rsid w:val="001E6D38"/>
    <w:rsid w:val="001F0209"/>
    <w:rsid w:val="001F2629"/>
    <w:rsid w:val="001F2651"/>
    <w:rsid w:val="001F2A7B"/>
    <w:rsid w:val="001F2F3C"/>
    <w:rsid w:val="001F3685"/>
    <w:rsid w:val="001F3AD5"/>
    <w:rsid w:val="001F3BD3"/>
    <w:rsid w:val="001F40BC"/>
    <w:rsid w:val="001F47F0"/>
    <w:rsid w:val="001F4C79"/>
    <w:rsid w:val="001F5539"/>
    <w:rsid w:val="001F5BAC"/>
    <w:rsid w:val="001F5DEB"/>
    <w:rsid w:val="001F5FD2"/>
    <w:rsid w:val="001F61F8"/>
    <w:rsid w:val="001F72BD"/>
    <w:rsid w:val="001F7602"/>
    <w:rsid w:val="001F7831"/>
    <w:rsid w:val="0020111E"/>
    <w:rsid w:val="0020116D"/>
    <w:rsid w:val="002013F1"/>
    <w:rsid w:val="00201BEC"/>
    <w:rsid w:val="00201CA4"/>
    <w:rsid w:val="002020EA"/>
    <w:rsid w:val="0020212A"/>
    <w:rsid w:val="002027C6"/>
    <w:rsid w:val="00202C4C"/>
    <w:rsid w:val="00203B4E"/>
    <w:rsid w:val="00204320"/>
    <w:rsid w:val="00204B72"/>
    <w:rsid w:val="00204F0A"/>
    <w:rsid w:val="00205231"/>
    <w:rsid w:val="00205D1A"/>
    <w:rsid w:val="002060EA"/>
    <w:rsid w:val="002067E6"/>
    <w:rsid w:val="002074C5"/>
    <w:rsid w:val="00207AC4"/>
    <w:rsid w:val="002100ED"/>
    <w:rsid w:val="002105A1"/>
    <w:rsid w:val="00211476"/>
    <w:rsid w:val="00211F99"/>
    <w:rsid w:val="0021219E"/>
    <w:rsid w:val="00212632"/>
    <w:rsid w:val="00212D8A"/>
    <w:rsid w:val="00213147"/>
    <w:rsid w:val="00214DEA"/>
    <w:rsid w:val="00215E22"/>
    <w:rsid w:val="002167B5"/>
    <w:rsid w:val="00216AA5"/>
    <w:rsid w:val="00216BE8"/>
    <w:rsid w:val="00217861"/>
    <w:rsid w:val="00217D17"/>
    <w:rsid w:val="0022049D"/>
    <w:rsid w:val="00220DD3"/>
    <w:rsid w:val="00221129"/>
    <w:rsid w:val="0022179D"/>
    <w:rsid w:val="00221FDB"/>
    <w:rsid w:val="002226C0"/>
    <w:rsid w:val="00224320"/>
    <w:rsid w:val="00225071"/>
    <w:rsid w:val="0022645D"/>
    <w:rsid w:val="002276C5"/>
    <w:rsid w:val="002278DB"/>
    <w:rsid w:val="00227CEA"/>
    <w:rsid w:val="00230B66"/>
    <w:rsid w:val="00230F2F"/>
    <w:rsid w:val="002312BE"/>
    <w:rsid w:val="0023166F"/>
    <w:rsid w:val="002332A6"/>
    <w:rsid w:val="00233FFB"/>
    <w:rsid w:val="00234004"/>
    <w:rsid w:val="00234138"/>
    <w:rsid w:val="0023469B"/>
    <w:rsid w:val="002348B5"/>
    <w:rsid w:val="00234E29"/>
    <w:rsid w:val="00235553"/>
    <w:rsid w:val="002358CB"/>
    <w:rsid w:val="00236554"/>
    <w:rsid w:val="002365FA"/>
    <w:rsid w:val="002367C4"/>
    <w:rsid w:val="002370B4"/>
    <w:rsid w:val="00237588"/>
    <w:rsid w:val="0023764A"/>
    <w:rsid w:val="00240AA3"/>
    <w:rsid w:val="0024158A"/>
    <w:rsid w:val="00242A6E"/>
    <w:rsid w:val="0024311B"/>
    <w:rsid w:val="00243217"/>
    <w:rsid w:val="002436F8"/>
    <w:rsid w:val="00243924"/>
    <w:rsid w:val="00243B25"/>
    <w:rsid w:val="00243F40"/>
    <w:rsid w:val="00243F6B"/>
    <w:rsid w:val="0024421B"/>
    <w:rsid w:val="0024430E"/>
    <w:rsid w:val="00246536"/>
    <w:rsid w:val="00246CA6"/>
    <w:rsid w:val="00250CC5"/>
    <w:rsid w:val="002510CB"/>
    <w:rsid w:val="0025143B"/>
    <w:rsid w:val="002523C3"/>
    <w:rsid w:val="00252785"/>
    <w:rsid w:val="002528F8"/>
    <w:rsid w:val="00253C77"/>
    <w:rsid w:val="0025405A"/>
    <w:rsid w:val="002541B0"/>
    <w:rsid w:val="00254566"/>
    <w:rsid w:val="002547E1"/>
    <w:rsid w:val="00254AE4"/>
    <w:rsid w:val="00255835"/>
    <w:rsid w:val="00255B0B"/>
    <w:rsid w:val="00255F5B"/>
    <w:rsid w:val="002566F3"/>
    <w:rsid w:val="00257301"/>
    <w:rsid w:val="002578F3"/>
    <w:rsid w:val="00257902"/>
    <w:rsid w:val="00260379"/>
    <w:rsid w:val="00260D26"/>
    <w:rsid w:val="00262FB4"/>
    <w:rsid w:val="002633A1"/>
    <w:rsid w:val="00264628"/>
    <w:rsid w:val="00264643"/>
    <w:rsid w:val="00264A1D"/>
    <w:rsid w:val="00264C75"/>
    <w:rsid w:val="002650D3"/>
    <w:rsid w:val="002654E2"/>
    <w:rsid w:val="002654FA"/>
    <w:rsid w:val="00265958"/>
    <w:rsid w:val="00266291"/>
    <w:rsid w:val="0026639E"/>
    <w:rsid w:val="00266B30"/>
    <w:rsid w:val="00270772"/>
    <w:rsid w:val="00271C5E"/>
    <w:rsid w:val="00271EFC"/>
    <w:rsid w:val="00272115"/>
    <w:rsid w:val="00272289"/>
    <w:rsid w:val="002722A5"/>
    <w:rsid w:val="00273271"/>
    <w:rsid w:val="002732A4"/>
    <w:rsid w:val="00273584"/>
    <w:rsid w:val="0027365C"/>
    <w:rsid w:val="00273681"/>
    <w:rsid w:val="002746D6"/>
    <w:rsid w:val="0027491C"/>
    <w:rsid w:val="00275249"/>
    <w:rsid w:val="00275BD3"/>
    <w:rsid w:val="00276804"/>
    <w:rsid w:val="002776DB"/>
    <w:rsid w:val="002778A6"/>
    <w:rsid w:val="00277AE6"/>
    <w:rsid w:val="00277BC2"/>
    <w:rsid w:val="00277CAC"/>
    <w:rsid w:val="00277E1B"/>
    <w:rsid w:val="00277FCC"/>
    <w:rsid w:val="0028048C"/>
    <w:rsid w:val="00280F19"/>
    <w:rsid w:val="0028133B"/>
    <w:rsid w:val="00281DF4"/>
    <w:rsid w:val="00283AA2"/>
    <w:rsid w:val="00283D99"/>
    <w:rsid w:val="00284007"/>
    <w:rsid w:val="002845D4"/>
    <w:rsid w:val="00284626"/>
    <w:rsid w:val="002858A6"/>
    <w:rsid w:val="0028693F"/>
    <w:rsid w:val="00287B17"/>
    <w:rsid w:val="00287F80"/>
    <w:rsid w:val="00290C7B"/>
    <w:rsid w:val="00290D45"/>
    <w:rsid w:val="00291BFF"/>
    <w:rsid w:val="00291F17"/>
    <w:rsid w:val="002920F2"/>
    <w:rsid w:val="00292241"/>
    <w:rsid w:val="00292764"/>
    <w:rsid w:val="00292D78"/>
    <w:rsid w:val="0029351A"/>
    <w:rsid w:val="00293A1B"/>
    <w:rsid w:val="00294AE8"/>
    <w:rsid w:val="00294EF6"/>
    <w:rsid w:val="002951FD"/>
    <w:rsid w:val="00295D4C"/>
    <w:rsid w:val="002963A0"/>
    <w:rsid w:val="0029640C"/>
    <w:rsid w:val="0029645D"/>
    <w:rsid w:val="0029745C"/>
    <w:rsid w:val="00297715"/>
    <w:rsid w:val="002A0261"/>
    <w:rsid w:val="002A0BCB"/>
    <w:rsid w:val="002A0D80"/>
    <w:rsid w:val="002A1647"/>
    <w:rsid w:val="002A1945"/>
    <w:rsid w:val="002A275A"/>
    <w:rsid w:val="002A2E88"/>
    <w:rsid w:val="002A32AE"/>
    <w:rsid w:val="002A3F08"/>
    <w:rsid w:val="002A41AD"/>
    <w:rsid w:val="002A570E"/>
    <w:rsid w:val="002A5EE8"/>
    <w:rsid w:val="002A606F"/>
    <w:rsid w:val="002A69E4"/>
    <w:rsid w:val="002A713C"/>
    <w:rsid w:val="002A72D4"/>
    <w:rsid w:val="002A76D9"/>
    <w:rsid w:val="002B0082"/>
    <w:rsid w:val="002B02AD"/>
    <w:rsid w:val="002B03E2"/>
    <w:rsid w:val="002B0914"/>
    <w:rsid w:val="002B1418"/>
    <w:rsid w:val="002B1630"/>
    <w:rsid w:val="002B32F6"/>
    <w:rsid w:val="002B347B"/>
    <w:rsid w:val="002B48C9"/>
    <w:rsid w:val="002B51F5"/>
    <w:rsid w:val="002B5C21"/>
    <w:rsid w:val="002B5C9B"/>
    <w:rsid w:val="002B76D0"/>
    <w:rsid w:val="002B7A80"/>
    <w:rsid w:val="002B7AC7"/>
    <w:rsid w:val="002C02BA"/>
    <w:rsid w:val="002C0DEE"/>
    <w:rsid w:val="002C16D5"/>
    <w:rsid w:val="002C18D5"/>
    <w:rsid w:val="002C1A06"/>
    <w:rsid w:val="002C1E2B"/>
    <w:rsid w:val="002C2598"/>
    <w:rsid w:val="002C3490"/>
    <w:rsid w:val="002C37D1"/>
    <w:rsid w:val="002C4718"/>
    <w:rsid w:val="002C4D9F"/>
    <w:rsid w:val="002C58F1"/>
    <w:rsid w:val="002C6891"/>
    <w:rsid w:val="002C68E9"/>
    <w:rsid w:val="002C6993"/>
    <w:rsid w:val="002C6CBD"/>
    <w:rsid w:val="002C6E6B"/>
    <w:rsid w:val="002C73BF"/>
    <w:rsid w:val="002C7826"/>
    <w:rsid w:val="002D05DF"/>
    <w:rsid w:val="002D133E"/>
    <w:rsid w:val="002D136D"/>
    <w:rsid w:val="002D151B"/>
    <w:rsid w:val="002D170E"/>
    <w:rsid w:val="002D179E"/>
    <w:rsid w:val="002D1D63"/>
    <w:rsid w:val="002D1D91"/>
    <w:rsid w:val="002D1EA9"/>
    <w:rsid w:val="002D2A71"/>
    <w:rsid w:val="002D3A61"/>
    <w:rsid w:val="002D3C52"/>
    <w:rsid w:val="002D5718"/>
    <w:rsid w:val="002D6057"/>
    <w:rsid w:val="002D68DA"/>
    <w:rsid w:val="002D6A43"/>
    <w:rsid w:val="002D6ACB"/>
    <w:rsid w:val="002D6BAD"/>
    <w:rsid w:val="002D7612"/>
    <w:rsid w:val="002D788A"/>
    <w:rsid w:val="002E022A"/>
    <w:rsid w:val="002E1A41"/>
    <w:rsid w:val="002E20E0"/>
    <w:rsid w:val="002E21F0"/>
    <w:rsid w:val="002E23B3"/>
    <w:rsid w:val="002E2400"/>
    <w:rsid w:val="002E2759"/>
    <w:rsid w:val="002E278E"/>
    <w:rsid w:val="002E2B97"/>
    <w:rsid w:val="002E2DAC"/>
    <w:rsid w:val="002E3BF3"/>
    <w:rsid w:val="002E3E06"/>
    <w:rsid w:val="002E4D00"/>
    <w:rsid w:val="002E56BB"/>
    <w:rsid w:val="002E5A65"/>
    <w:rsid w:val="002E5C06"/>
    <w:rsid w:val="002E6319"/>
    <w:rsid w:val="002E75D0"/>
    <w:rsid w:val="002F07B8"/>
    <w:rsid w:val="002F12AF"/>
    <w:rsid w:val="002F2240"/>
    <w:rsid w:val="002F24C4"/>
    <w:rsid w:val="002F2B43"/>
    <w:rsid w:val="002F410C"/>
    <w:rsid w:val="002F44CE"/>
    <w:rsid w:val="002F4E93"/>
    <w:rsid w:val="002F5532"/>
    <w:rsid w:val="002F6C99"/>
    <w:rsid w:val="002F6D73"/>
    <w:rsid w:val="002F7A1F"/>
    <w:rsid w:val="002F7E86"/>
    <w:rsid w:val="002F7EBE"/>
    <w:rsid w:val="00300418"/>
    <w:rsid w:val="0030047C"/>
    <w:rsid w:val="003008BD"/>
    <w:rsid w:val="00300E18"/>
    <w:rsid w:val="0030114E"/>
    <w:rsid w:val="003015C4"/>
    <w:rsid w:val="003017FE"/>
    <w:rsid w:val="00301F34"/>
    <w:rsid w:val="003030A8"/>
    <w:rsid w:val="00303D67"/>
    <w:rsid w:val="003040FA"/>
    <w:rsid w:val="00304CDB"/>
    <w:rsid w:val="00304CEF"/>
    <w:rsid w:val="00305090"/>
    <w:rsid w:val="00305CB3"/>
    <w:rsid w:val="003067C3"/>
    <w:rsid w:val="00306CAD"/>
    <w:rsid w:val="0030702B"/>
    <w:rsid w:val="00307B58"/>
    <w:rsid w:val="00307EF9"/>
    <w:rsid w:val="00307F33"/>
    <w:rsid w:val="00311729"/>
    <w:rsid w:val="003117CC"/>
    <w:rsid w:val="003130AB"/>
    <w:rsid w:val="00313559"/>
    <w:rsid w:val="00314855"/>
    <w:rsid w:val="003170BB"/>
    <w:rsid w:val="003170C1"/>
    <w:rsid w:val="00320277"/>
    <w:rsid w:val="00320603"/>
    <w:rsid w:val="003206CA"/>
    <w:rsid w:val="003212E5"/>
    <w:rsid w:val="0032163E"/>
    <w:rsid w:val="0032174B"/>
    <w:rsid w:val="00322250"/>
    <w:rsid w:val="003223CE"/>
    <w:rsid w:val="00322893"/>
    <w:rsid w:val="00322987"/>
    <w:rsid w:val="00322C8E"/>
    <w:rsid w:val="00322D1E"/>
    <w:rsid w:val="00322F33"/>
    <w:rsid w:val="00323197"/>
    <w:rsid w:val="00323585"/>
    <w:rsid w:val="003236C5"/>
    <w:rsid w:val="00323E9C"/>
    <w:rsid w:val="003242EA"/>
    <w:rsid w:val="00324383"/>
    <w:rsid w:val="003249E6"/>
    <w:rsid w:val="003253E0"/>
    <w:rsid w:val="003259B2"/>
    <w:rsid w:val="00325F97"/>
    <w:rsid w:val="003266B0"/>
    <w:rsid w:val="00327761"/>
    <w:rsid w:val="00327BDB"/>
    <w:rsid w:val="00327C12"/>
    <w:rsid w:val="00331CF7"/>
    <w:rsid w:val="00332721"/>
    <w:rsid w:val="00332D27"/>
    <w:rsid w:val="00332E2A"/>
    <w:rsid w:val="003332E9"/>
    <w:rsid w:val="00333D2E"/>
    <w:rsid w:val="00334E92"/>
    <w:rsid w:val="00334EB6"/>
    <w:rsid w:val="00335E39"/>
    <w:rsid w:val="003366BA"/>
    <w:rsid w:val="00337203"/>
    <w:rsid w:val="00337336"/>
    <w:rsid w:val="00337E54"/>
    <w:rsid w:val="003405E7"/>
    <w:rsid w:val="003409F3"/>
    <w:rsid w:val="00340CF3"/>
    <w:rsid w:val="00340D78"/>
    <w:rsid w:val="00340D7E"/>
    <w:rsid w:val="003410DF"/>
    <w:rsid w:val="00342649"/>
    <w:rsid w:val="00342BE4"/>
    <w:rsid w:val="00342CFA"/>
    <w:rsid w:val="00342D51"/>
    <w:rsid w:val="00342EBC"/>
    <w:rsid w:val="00343672"/>
    <w:rsid w:val="003437F9"/>
    <w:rsid w:val="00343D05"/>
    <w:rsid w:val="00343FD0"/>
    <w:rsid w:val="003449BF"/>
    <w:rsid w:val="00345135"/>
    <w:rsid w:val="003451AE"/>
    <w:rsid w:val="00345D9D"/>
    <w:rsid w:val="00345FE1"/>
    <w:rsid w:val="0034620E"/>
    <w:rsid w:val="00346947"/>
    <w:rsid w:val="00346D85"/>
    <w:rsid w:val="00347C20"/>
    <w:rsid w:val="00347FC4"/>
    <w:rsid w:val="0035019A"/>
    <w:rsid w:val="00350679"/>
    <w:rsid w:val="003541F3"/>
    <w:rsid w:val="00354BD2"/>
    <w:rsid w:val="00354EE0"/>
    <w:rsid w:val="003555E1"/>
    <w:rsid w:val="00355C1A"/>
    <w:rsid w:val="003563AF"/>
    <w:rsid w:val="00356940"/>
    <w:rsid w:val="00356E7B"/>
    <w:rsid w:val="00360405"/>
    <w:rsid w:val="003604FF"/>
    <w:rsid w:val="00360ECA"/>
    <w:rsid w:val="00361A9E"/>
    <w:rsid w:val="00361D1F"/>
    <w:rsid w:val="00362410"/>
    <w:rsid w:val="003625BB"/>
    <w:rsid w:val="00362635"/>
    <w:rsid w:val="0036286F"/>
    <w:rsid w:val="00363D1B"/>
    <w:rsid w:val="00364B6D"/>
    <w:rsid w:val="00365740"/>
    <w:rsid w:val="00365991"/>
    <w:rsid w:val="00366AD3"/>
    <w:rsid w:val="003675A8"/>
    <w:rsid w:val="0036777E"/>
    <w:rsid w:val="00370295"/>
    <w:rsid w:val="0037252A"/>
    <w:rsid w:val="00372981"/>
    <w:rsid w:val="00373310"/>
    <w:rsid w:val="00373CAC"/>
    <w:rsid w:val="00373E20"/>
    <w:rsid w:val="00374313"/>
    <w:rsid w:val="003747EF"/>
    <w:rsid w:val="00374C4B"/>
    <w:rsid w:val="00375103"/>
    <w:rsid w:val="00377596"/>
    <w:rsid w:val="0037788E"/>
    <w:rsid w:val="003778DD"/>
    <w:rsid w:val="00377BC1"/>
    <w:rsid w:val="00377F48"/>
    <w:rsid w:val="0038061A"/>
    <w:rsid w:val="00380882"/>
    <w:rsid w:val="00380AA6"/>
    <w:rsid w:val="00382041"/>
    <w:rsid w:val="0038249F"/>
    <w:rsid w:val="003829DD"/>
    <w:rsid w:val="00382C95"/>
    <w:rsid w:val="00382CC7"/>
    <w:rsid w:val="00383473"/>
    <w:rsid w:val="003834E8"/>
    <w:rsid w:val="00383A0F"/>
    <w:rsid w:val="0038422B"/>
    <w:rsid w:val="003848D0"/>
    <w:rsid w:val="003848E5"/>
    <w:rsid w:val="003851AD"/>
    <w:rsid w:val="003852AC"/>
    <w:rsid w:val="00385EE4"/>
    <w:rsid w:val="0038642B"/>
    <w:rsid w:val="00386C78"/>
    <w:rsid w:val="00386FE5"/>
    <w:rsid w:val="00387B76"/>
    <w:rsid w:val="00387E41"/>
    <w:rsid w:val="00390F86"/>
    <w:rsid w:val="003921D4"/>
    <w:rsid w:val="00392270"/>
    <w:rsid w:val="00392A5D"/>
    <w:rsid w:val="00393106"/>
    <w:rsid w:val="00393130"/>
    <w:rsid w:val="0039340D"/>
    <w:rsid w:val="003935A1"/>
    <w:rsid w:val="003941FE"/>
    <w:rsid w:val="003944B6"/>
    <w:rsid w:val="003946B4"/>
    <w:rsid w:val="003949D4"/>
    <w:rsid w:val="00394BA5"/>
    <w:rsid w:val="0039581E"/>
    <w:rsid w:val="00395C17"/>
    <w:rsid w:val="00396010"/>
    <w:rsid w:val="003976BC"/>
    <w:rsid w:val="00397D14"/>
    <w:rsid w:val="003A0409"/>
    <w:rsid w:val="003A0883"/>
    <w:rsid w:val="003A08B0"/>
    <w:rsid w:val="003A08D9"/>
    <w:rsid w:val="003A0DBA"/>
    <w:rsid w:val="003A0E74"/>
    <w:rsid w:val="003A1355"/>
    <w:rsid w:val="003A1472"/>
    <w:rsid w:val="003A25FF"/>
    <w:rsid w:val="003A2A83"/>
    <w:rsid w:val="003A3E6F"/>
    <w:rsid w:val="003A4346"/>
    <w:rsid w:val="003A47D5"/>
    <w:rsid w:val="003A4AED"/>
    <w:rsid w:val="003A51F0"/>
    <w:rsid w:val="003A6E65"/>
    <w:rsid w:val="003A7122"/>
    <w:rsid w:val="003A76B5"/>
    <w:rsid w:val="003A791B"/>
    <w:rsid w:val="003A7EDA"/>
    <w:rsid w:val="003B0EB5"/>
    <w:rsid w:val="003B1D98"/>
    <w:rsid w:val="003B2313"/>
    <w:rsid w:val="003B3689"/>
    <w:rsid w:val="003B37A3"/>
    <w:rsid w:val="003B4C8B"/>
    <w:rsid w:val="003B50EB"/>
    <w:rsid w:val="003B5461"/>
    <w:rsid w:val="003B5463"/>
    <w:rsid w:val="003B582F"/>
    <w:rsid w:val="003B5BE5"/>
    <w:rsid w:val="003B5E6A"/>
    <w:rsid w:val="003B607B"/>
    <w:rsid w:val="003B6674"/>
    <w:rsid w:val="003B74A8"/>
    <w:rsid w:val="003B7DA2"/>
    <w:rsid w:val="003C041D"/>
    <w:rsid w:val="003C188C"/>
    <w:rsid w:val="003C303F"/>
    <w:rsid w:val="003C38AC"/>
    <w:rsid w:val="003C46A1"/>
    <w:rsid w:val="003C4B56"/>
    <w:rsid w:val="003C6210"/>
    <w:rsid w:val="003C658F"/>
    <w:rsid w:val="003C6623"/>
    <w:rsid w:val="003C6B25"/>
    <w:rsid w:val="003C758A"/>
    <w:rsid w:val="003D0915"/>
    <w:rsid w:val="003D1085"/>
    <w:rsid w:val="003D1726"/>
    <w:rsid w:val="003D17B1"/>
    <w:rsid w:val="003D2787"/>
    <w:rsid w:val="003D2DF8"/>
    <w:rsid w:val="003D2E03"/>
    <w:rsid w:val="003D2F18"/>
    <w:rsid w:val="003D32D0"/>
    <w:rsid w:val="003D42D5"/>
    <w:rsid w:val="003D4417"/>
    <w:rsid w:val="003D46AC"/>
    <w:rsid w:val="003D4CAF"/>
    <w:rsid w:val="003D54C1"/>
    <w:rsid w:val="003D774B"/>
    <w:rsid w:val="003E0677"/>
    <w:rsid w:val="003E077A"/>
    <w:rsid w:val="003E0977"/>
    <w:rsid w:val="003E1378"/>
    <w:rsid w:val="003E288F"/>
    <w:rsid w:val="003E2963"/>
    <w:rsid w:val="003E2ACE"/>
    <w:rsid w:val="003E3198"/>
    <w:rsid w:val="003E33BB"/>
    <w:rsid w:val="003E3460"/>
    <w:rsid w:val="003E451A"/>
    <w:rsid w:val="003E484F"/>
    <w:rsid w:val="003E4E95"/>
    <w:rsid w:val="003E4F54"/>
    <w:rsid w:val="003E5885"/>
    <w:rsid w:val="003E5E96"/>
    <w:rsid w:val="003E660C"/>
    <w:rsid w:val="003F0D94"/>
    <w:rsid w:val="003F29FF"/>
    <w:rsid w:val="003F2D65"/>
    <w:rsid w:val="003F3492"/>
    <w:rsid w:val="003F36A2"/>
    <w:rsid w:val="003F491A"/>
    <w:rsid w:val="003F53A2"/>
    <w:rsid w:val="003F5584"/>
    <w:rsid w:val="003F5727"/>
    <w:rsid w:val="003F6188"/>
    <w:rsid w:val="003F627A"/>
    <w:rsid w:val="003F629D"/>
    <w:rsid w:val="003F67FD"/>
    <w:rsid w:val="003F7C77"/>
    <w:rsid w:val="0040017D"/>
    <w:rsid w:val="004002A5"/>
    <w:rsid w:val="004004A7"/>
    <w:rsid w:val="00400EC8"/>
    <w:rsid w:val="0040169D"/>
    <w:rsid w:val="00401F3F"/>
    <w:rsid w:val="004021BB"/>
    <w:rsid w:val="00402C14"/>
    <w:rsid w:val="004036A0"/>
    <w:rsid w:val="004043FF"/>
    <w:rsid w:val="00404A07"/>
    <w:rsid w:val="00404A7E"/>
    <w:rsid w:val="00405233"/>
    <w:rsid w:val="004063B9"/>
    <w:rsid w:val="004064FC"/>
    <w:rsid w:val="0040662B"/>
    <w:rsid w:val="0040691C"/>
    <w:rsid w:val="0040694A"/>
    <w:rsid w:val="00406E51"/>
    <w:rsid w:val="004073CB"/>
    <w:rsid w:val="0041107E"/>
    <w:rsid w:val="00411241"/>
    <w:rsid w:val="004112F1"/>
    <w:rsid w:val="004119FC"/>
    <w:rsid w:val="004120A6"/>
    <w:rsid w:val="00412327"/>
    <w:rsid w:val="00413EC7"/>
    <w:rsid w:val="0041465D"/>
    <w:rsid w:val="004148CF"/>
    <w:rsid w:val="00414F65"/>
    <w:rsid w:val="0041621C"/>
    <w:rsid w:val="00416375"/>
    <w:rsid w:val="00416401"/>
    <w:rsid w:val="004166B2"/>
    <w:rsid w:val="00420247"/>
    <w:rsid w:val="00421639"/>
    <w:rsid w:val="004218C2"/>
    <w:rsid w:val="00422FF6"/>
    <w:rsid w:val="0042385F"/>
    <w:rsid w:val="00423A85"/>
    <w:rsid w:val="00423C1D"/>
    <w:rsid w:val="0042426B"/>
    <w:rsid w:val="004249B6"/>
    <w:rsid w:val="004249C6"/>
    <w:rsid w:val="00426478"/>
    <w:rsid w:val="00426825"/>
    <w:rsid w:val="00426DA5"/>
    <w:rsid w:val="00427637"/>
    <w:rsid w:val="0043034A"/>
    <w:rsid w:val="00430D0A"/>
    <w:rsid w:val="004315C3"/>
    <w:rsid w:val="00431AC7"/>
    <w:rsid w:val="00431C24"/>
    <w:rsid w:val="00431D25"/>
    <w:rsid w:val="00432066"/>
    <w:rsid w:val="00433A17"/>
    <w:rsid w:val="00433B53"/>
    <w:rsid w:val="00433C3B"/>
    <w:rsid w:val="00433E3F"/>
    <w:rsid w:val="00434058"/>
    <w:rsid w:val="00434141"/>
    <w:rsid w:val="0043468D"/>
    <w:rsid w:val="00434E90"/>
    <w:rsid w:val="00435E6F"/>
    <w:rsid w:val="00436AEB"/>
    <w:rsid w:val="00437B49"/>
    <w:rsid w:val="0044062C"/>
    <w:rsid w:val="0044075E"/>
    <w:rsid w:val="0044106C"/>
    <w:rsid w:val="004412DA"/>
    <w:rsid w:val="0044182B"/>
    <w:rsid w:val="00442165"/>
    <w:rsid w:val="004429EE"/>
    <w:rsid w:val="00442D18"/>
    <w:rsid w:val="00442F8F"/>
    <w:rsid w:val="00443A1A"/>
    <w:rsid w:val="00444925"/>
    <w:rsid w:val="00445534"/>
    <w:rsid w:val="0044568A"/>
    <w:rsid w:val="004459C0"/>
    <w:rsid w:val="00446397"/>
    <w:rsid w:val="00446E6C"/>
    <w:rsid w:val="00450831"/>
    <w:rsid w:val="004508CF"/>
    <w:rsid w:val="00451427"/>
    <w:rsid w:val="00451EF7"/>
    <w:rsid w:val="00452508"/>
    <w:rsid w:val="00452976"/>
    <w:rsid w:val="0045330C"/>
    <w:rsid w:val="0045345A"/>
    <w:rsid w:val="004535A5"/>
    <w:rsid w:val="0045378A"/>
    <w:rsid w:val="004537E4"/>
    <w:rsid w:val="004538D0"/>
    <w:rsid w:val="00453C01"/>
    <w:rsid w:val="00454527"/>
    <w:rsid w:val="00454BD1"/>
    <w:rsid w:val="00455170"/>
    <w:rsid w:val="004553FF"/>
    <w:rsid w:val="004555D1"/>
    <w:rsid w:val="00456845"/>
    <w:rsid w:val="004570B6"/>
    <w:rsid w:val="00457329"/>
    <w:rsid w:val="004602AF"/>
    <w:rsid w:val="004606C4"/>
    <w:rsid w:val="00461106"/>
    <w:rsid w:val="00461231"/>
    <w:rsid w:val="0046148A"/>
    <w:rsid w:val="00461A2F"/>
    <w:rsid w:val="0046246D"/>
    <w:rsid w:val="00462A38"/>
    <w:rsid w:val="00462B4A"/>
    <w:rsid w:val="00462CC2"/>
    <w:rsid w:val="004638BD"/>
    <w:rsid w:val="00463CFA"/>
    <w:rsid w:val="00463EEC"/>
    <w:rsid w:val="00464448"/>
    <w:rsid w:val="00464E5A"/>
    <w:rsid w:val="00465278"/>
    <w:rsid w:val="00465EA6"/>
    <w:rsid w:val="0046615F"/>
    <w:rsid w:val="00466432"/>
    <w:rsid w:val="004665C6"/>
    <w:rsid w:val="00467BDC"/>
    <w:rsid w:val="00467D02"/>
    <w:rsid w:val="00470490"/>
    <w:rsid w:val="00470D0A"/>
    <w:rsid w:val="004718AE"/>
    <w:rsid w:val="00471EFA"/>
    <w:rsid w:val="0047294C"/>
    <w:rsid w:val="00472F64"/>
    <w:rsid w:val="004739C9"/>
    <w:rsid w:val="00473DC9"/>
    <w:rsid w:val="00475602"/>
    <w:rsid w:val="00475A12"/>
    <w:rsid w:val="00476FAC"/>
    <w:rsid w:val="00477052"/>
    <w:rsid w:val="00477263"/>
    <w:rsid w:val="004779B7"/>
    <w:rsid w:val="004803AE"/>
    <w:rsid w:val="00480ADC"/>
    <w:rsid w:val="00481603"/>
    <w:rsid w:val="00481611"/>
    <w:rsid w:val="00481827"/>
    <w:rsid w:val="00482B5F"/>
    <w:rsid w:val="00483B2E"/>
    <w:rsid w:val="00483B6F"/>
    <w:rsid w:val="00483C95"/>
    <w:rsid w:val="00483CDE"/>
    <w:rsid w:val="00483D13"/>
    <w:rsid w:val="00484E58"/>
    <w:rsid w:val="00484E77"/>
    <w:rsid w:val="0048507E"/>
    <w:rsid w:val="00486644"/>
    <w:rsid w:val="00487CB3"/>
    <w:rsid w:val="004909F8"/>
    <w:rsid w:val="00490DAB"/>
    <w:rsid w:val="004919B1"/>
    <w:rsid w:val="00491BC1"/>
    <w:rsid w:val="0049200A"/>
    <w:rsid w:val="00494822"/>
    <w:rsid w:val="0049490F"/>
    <w:rsid w:val="00494CFA"/>
    <w:rsid w:val="00494E3C"/>
    <w:rsid w:val="0049555C"/>
    <w:rsid w:val="004955B1"/>
    <w:rsid w:val="00496522"/>
    <w:rsid w:val="004967D9"/>
    <w:rsid w:val="00497304"/>
    <w:rsid w:val="004976D5"/>
    <w:rsid w:val="00497A95"/>
    <w:rsid w:val="00497DFE"/>
    <w:rsid w:val="004A0219"/>
    <w:rsid w:val="004A0DD2"/>
    <w:rsid w:val="004A1041"/>
    <w:rsid w:val="004A1209"/>
    <w:rsid w:val="004A16FA"/>
    <w:rsid w:val="004A2C0B"/>
    <w:rsid w:val="004A2DDA"/>
    <w:rsid w:val="004A3545"/>
    <w:rsid w:val="004A3BA6"/>
    <w:rsid w:val="004A3F17"/>
    <w:rsid w:val="004A4466"/>
    <w:rsid w:val="004A4865"/>
    <w:rsid w:val="004A520C"/>
    <w:rsid w:val="004A575B"/>
    <w:rsid w:val="004A6361"/>
    <w:rsid w:val="004A686B"/>
    <w:rsid w:val="004A694B"/>
    <w:rsid w:val="004A719A"/>
    <w:rsid w:val="004A7641"/>
    <w:rsid w:val="004A7C1C"/>
    <w:rsid w:val="004B0119"/>
    <w:rsid w:val="004B0356"/>
    <w:rsid w:val="004B0EB1"/>
    <w:rsid w:val="004B16CC"/>
    <w:rsid w:val="004B194F"/>
    <w:rsid w:val="004B1E8E"/>
    <w:rsid w:val="004B2FB8"/>
    <w:rsid w:val="004B30F3"/>
    <w:rsid w:val="004B3746"/>
    <w:rsid w:val="004B396F"/>
    <w:rsid w:val="004B3BD0"/>
    <w:rsid w:val="004B4950"/>
    <w:rsid w:val="004B5902"/>
    <w:rsid w:val="004B6714"/>
    <w:rsid w:val="004B67EF"/>
    <w:rsid w:val="004B6B04"/>
    <w:rsid w:val="004C02EA"/>
    <w:rsid w:val="004C072E"/>
    <w:rsid w:val="004C0895"/>
    <w:rsid w:val="004C0B0F"/>
    <w:rsid w:val="004C0DD4"/>
    <w:rsid w:val="004C1960"/>
    <w:rsid w:val="004C19FC"/>
    <w:rsid w:val="004C1F57"/>
    <w:rsid w:val="004C27A6"/>
    <w:rsid w:val="004C383D"/>
    <w:rsid w:val="004C3F5A"/>
    <w:rsid w:val="004C53D6"/>
    <w:rsid w:val="004C5D48"/>
    <w:rsid w:val="004C647B"/>
    <w:rsid w:val="004C69B3"/>
    <w:rsid w:val="004C6D86"/>
    <w:rsid w:val="004D0BB0"/>
    <w:rsid w:val="004D103E"/>
    <w:rsid w:val="004D1230"/>
    <w:rsid w:val="004D20ED"/>
    <w:rsid w:val="004D22E4"/>
    <w:rsid w:val="004D2C68"/>
    <w:rsid w:val="004D34FF"/>
    <w:rsid w:val="004D3547"/>
    <w:rsid w:val="004D4CBB"/>
    <w:rsid w:val="004D4D34"/>
    <w:rsid w:val="004D52FD"/>
    <w:rsid w:val="004D57DF"/>
    <w:rsid w:val="004D58B0"/>
    <w:rsid w:val="004D68C2"/>
    <w:rsid w:val="004D6948"/>
    <w:rsid w:val="004D6CBD"/>
    <w:rsid w:val="004D7215"/>
    <w:rsid w:val="004D766C"/>
    <w:rsid w:val="004D7806"/>
    <w:rsid w:val="004D7A8C"/>
    <w:rsid w:val="004E030F"/>
    <w:rsid w:val="004E0C8F"/>
    <w:rsid w:val="004E172C"/>
    <w:rsid w:val="004E26C1"/>
    <w:rsid w:val="004E31B1"/>
    <w:rsid w:val="004E3B83"/>
    <w:rsid w:val="004E420C"/>
    <w:rsid w:val="004E528E"/>
    <w:rsid w:val="004E55F6"/>
    <w:rsid w:val="004E5718"/>
    <w:rsid w:val="004E5909"/>
    <w:rsid w:val="004E6006"/>
    <w:rsid w:val="004E61EA"/>
    <w:rsid w:val="004E64E4"/>
    <w:rsid w:val="004F0480"/>
    <w:rsid w:val="004F1B76"/>
    <w:rsid w:val="004F1F2E"/>
    <w:rsid w:val="004F3006"/>
    <w:rsid w:val="004F4E18"/>
    <w:rsid w:val="004F5235"/>
    <w:rsid w:val="004F532E"/>
    <w:rsid w:val="004F55F2"/>
    <w:rsid w:val="004F5ACD"/>
    <w:rsid w:val="004F6088"/>
    <w:rsid w:val="004F6185"/>
    <w:rsid w:val="004F63B4"/>
    <w:rsid w:val="004F6D89"/>
    <w:rsid w:val="004F6EE9"/>
    <w:rsid w:val="004F70E0"/>
    <w:rsid w:val="005002FA"/>
    <w:rsid w:val="00500653"/>
    <w:rsid w:val="0050099B"/>
    <w:rsid w:val="00500DD3"/>
    <w:rsid w:val="00500EB8"/>
    <w:rsid w:val="0050131E"/>
    <w:rsid w:val="005024D8"/>
    <w:rsid w:val="0050270F"/>
    <w:rsid w:val="00504157"/>
    <w:rsid w:val="005043EF"/>
    <w:rsid w:val="00504B6D"/>
    <w:rsid w:val="00504C46"/>
    <w:rsid w:val="00504F27"/>
    <w:rsid w:val="00505021"/>
    <w:rsid w:val="00505B43"/>
    <w:rsid w:val="0050604B"/>
    <w:rsid w:val="00506C97"/>
    <w:rsid w:val="00507D7A"/>
    <w:rsid w:val="00510468"/>
    <w:rsid w:val="00510BC9"/>
    <w:rsid w:val="0051108A"/>
    <w:rsid w:val="00511366"/>
    <w:rsid w:val="005119A0"/>
    <w:rsid w:val="00512283"/>
    <w:rsid w:val="0051251C"/>
    <w:rsid w:val="0051335E"/>
    <w:rsid w:val="00515326"/>
    <w:rsid w:val="005154C3"/>
    <w:rsid w:val="005156F4"/>
    <w:rsid w:val="00515FD4"/>
    <w:rsid w:val="0051701D"/>
    <w:rsid w:val="005172DD"/>
    <w:rsid w:val="00517895"/>
    <w:rsid w:val="00517C86"/>
    <w:rsid w:val="005202D3"/>
    <w:rsid w:val="00520710"/>
    <w:rsid w:val="00520951"/>
    <w:rsid w:val="00521101"/>
    <w:rsid w:val="00521355"/>
    <w:rsid w:val="00522322"/>
    <w:rsid w:val="005239B2"/>
    <w:rsid w:val="005239B4"/>
    <w:rsid w:val="00523A53"/>
    <w:rsid w:val="00525A89"/>
    <w:rsid w:val="0052677F"/>
    <w:rsid w:val="00526B71"/>
    <w:rsid w:val="005278C8"/>
    <w:rsid w:val="00527B00"/>
    <w:rsid w:val="00527E28"/>
    <w:rsid w:val="00527E39"/>
    <w:rsid w:val="00527F1E"/>
    <w:rsid w:val="00530081"/>
    <w:rsid w:val="005302B2"/>
    <w:rsid w:val="00530B77"/>
    <w:rsid w:val="00531917"/>
    <w:rsid w:val="005325E5"/>
    <w:rsid w:val="00532653"/>
    <w:rsid w:val="00533168"/>
    <w:rsid w:val="005334BF"/>
    <w:rsid w:val="005335AE"/>
    <w:rsid w:val="00533C1F"/>
    <w:rsid w:val="005351D1"/>
    <w:rsid w:val="0053545E"/>
    <w:rsid w:val="005366D7"/>
    <w:rsid w:val="005407BC"/>
    <w:rsid w:val="00540864"/>
    <w:rsid w:val="0054155C"/>
    <w:rsid w:val="00541866"/>
    <w:rsid w:val="00541EAC"/>
    <w:rsid w:val="00544ADF"/>
    <w:rsid w:val="00544AF2"/>
    <w:rsid w:val="0054570C"/>
    <w:rsid w:val="005458BB"/>
    <w:rsid w:val="005462B9"/>
    <w:rsid w:val="005462EF"/>
    <w:rsid w:val="0054675E"/>
    <w:rsid w:val="00546B1D"/>
    <w:rsid w:val="00547144"/>
    <w:rsid w:val="005471B0"/>
    <w:rsid w:val="0054764C"/>
    <w:rsid w:val="00547867"/>
    <w:rsid w:val="00550272"/>
    <w:rsid w:val="0055077C"/>
    <w:rsid w:val="0055102F"/>
    <w:rsid w:val="0055195D"/>
    <w:rsid w:val="00551CFB"/>
    <w:rsid w:val="005529F2"/>
    <w:rsid w:val="00552C41"/>
    <w:rsid w:val="005532B8"/>
    <w:rsid w:val="005534D1"/>
    <w:rsid w:val="005536FA"/>
    <w:rsid w:val="00553C13"/>
    <w:rsid w:val="00554E2F"/>
    <w:rsid w:val="005559C5"/>
    <w:rsid w:val="005562F4"/>
    <w:rsid w:val="00556D3B"/>
    <w:rsid w:val="005570B7"/>
    <w:rsid w:val="00557DD7"/>
    <w:rsid w:val="005604E3"/>
    <w:rsid w:val="00560C3F"/>
    <w:rsid w:val="00561EC5"/>
    <w:rsid w:val="00561FA8"/>
    <w:rsid w:val="00562FD6"/>
    <w:rsid w:val="005655E2"/>
    <w:rsid w:val="00565635"/>
    <w:rsid w:val="00565A31"/>
    <w:rsid w:val="00565EC6"/>
    <w:rsid w:val="00567644"/>
    <w:rsid w:val="00567CE3"/>
    <w:rsid w:val="005703DC"/>
    <w:rsid w:val="0057088B"/>
    <w:rsid w:val="005708B9"/>
    <w:rsid w:val="00571300"/>
    <w:rsid w:val="005722F4"/>
    <w:rsid w:val="005723FF"/>
    <w:rsid w:val="00572BFE"/>
    <w:rsid w:val="0057391C"/>
    <w:rsid w:val="00573E13"/>
    <w:rsid w:val="0057412D"/>
    <w:rsid w:val="005741F8"/>
    <w:rsid w:val="005748D3"/>
    <w:rsid w:val="005750C5"/>
    <w:rsid w:val="0057529C"/>
    <w:rsid w:val="00575629"/>
    <w:rsid w:val="0057669B"/>
    <w:rsid w:val="00576F1B"/>
    <w:rsid w:val="005772FE"/>
    <w:rsid w:val="00577304"/>
    <w:rsid w:val="005775CC"/>
    <w:rsid w:val="005776DF"/>
    <w:rsid w:val="00580CB1"/>
    <w:rsid w:val="00581604"/>
    <w:rsid w:val="00581770"/>
    <w:rsid w:val="00581C42"/>
    <w:rsid w:val="00581E27"/>
    <w:rsid w:val="005824D6"/>
    <w:rsid w:val="00582A7E"/>
    <w:rsid w:val="005830BB"/>
    <w:rsid w:val="0058353B"/>
    <w:rsid w:val="005847DF"/>
    <w:rsid w:val="00585548"/>
    <w:rsid w:val="00585919"/>
    <w:rsid w:val="0058644A"/>
    <w:rsid w:val="00586D4D"/>
    <w:rsid w:val="0058767A"/>
    <w:rsid w:val="005877C3"/>
    <w:rsid w:val="005910B9"/>
    <w:rsid w:val="0059132E"/>
    <w:rsid w:val="00591920"/>
    <w:rsid w:val="00592C4A"/>
    <w:rsid w:val="00592CB4"/>
    <w:rsid w:val="00592D08"/>
    <w:rsid w:val="00593033"/>
    <w:rsid w:val="005936FF"/>
    <w:rsid w:val="00593835"/>
    <w:rsid w:val="00595A67"/>
    <w:rsid w:val="00596B80"/>
    <w:rsid w:val="00597374"/>
    <w:rsid w:val="005977BE"/>
    <w:rsid w:val="005A2836"/>
    <w:rsid w:val="005A2A1A"/>
    <w:rsid w:val="005A33F2"/>
    <w:rsid w:val="005A3481"/>
    <w:rsid w:val="005A5128"/>
    <w:rsid w:val="005A5877"/>
    <w:rsid w:val="005A5E7A"/>
    <w:rsid w:val="005A742E"/>
    <w:rsid w:val="005A7484"/>
    <w:rsid w:val="005A7488"/>
    <w:rsid w:val="005A7A8E"/>
    <w:rsid w:val="005B0AA9"/>
    <w:rsid w:val="005B2475"/>
    <w:rsid w:val="005B2916"/>
    <w:rsid w:val="005B3C0C"/>
    <w:rsid w:val="005B3FDA"/>
    <w:rsid w:val="005B5026"/>
    <w:rsid w:val="005B707C"/>
    <w:rsid w:val="005B7270"/>
    <w:rsid w:val="005B7595"/>
    <w:rsid w:val="005B769B"/>
    <w:rsid w:val="005C0542"/>
    <w:rsid w:val="005C07C5"/>
    <w:rsid w:val="005C0905"/>
    <w:rsid w:val="005C0B2C"/>
    <w:rsid w:val="005C3685"/>
    <w:rsid w:val="005C39D5"/>
    <w:rsid w:val="005C3A1E"/>
    <w:rsid w:val="005C4443"/>
    <w:rsid w:val="005C44F4"/>
    <w:rsid w:val="005C5927"/>
    <w:rsid w:val="005C5EC9"/>
    <w:rsid w:val="005C631C"/>
    <w:rsid w:val="005C69BA"/>
    <w:rsid w:val="005C7502"/>
    <w:rsid w:val="005C799D"/>
    <w:rsid w:val="005D05B0"/>
    <w:rsid w:val="005D08D5"/>
    <w:rsid w:val="005D0C22"/>
    <w:rsid w:val="005D1223"/>
    <w:rsid w:val="005D19CD"/>
    <w:rsid w:val="005D20CE"/>
    <w:rsid w:val="005D3B3B"/>
    <w:rsid w:val="005D4455"/>
    <w:rsid w:val="005D692B"/>
    <w:rsid w:val="005D6A62"/>
    <w:rsid w:val="005D7A51"/>
    <w:rsid w:val="005D7A9F"/>
    <w:rsid w:val="005D7EA2"/>
    <w:rsid w:val="005E0A8C"/>
    <w:rsid w:val="005E0C55"/>
    <w:rsid w:val="005E41A3"/>
    <w:rsid w:val="005E47D2"/>
    <w:rsid w:val="005E497B"/>
    <w:rsid w:val="005F0290"/>
    <w:rsid w:val="005F0B0A"/>
    <w:rsid w:val="005F0CD7"/>
    <w:rsid w:val="005F0EAD"/>
    <w:rsid w:val="005F1BA2"/>
    <w:rsid w:val="005F2DF4"/>
    <w:rsid w:val="005F3E05"/>
    <w:rsid w:val="005F3F43"/>
    <w:rsid w:val="005F466D"/>
    <w:rsid w:val="005F5435"/>
    <w:rsid w:val="005F63D8"/>
    <w:rsid w:val="005F67CD"/>
    <w:rsid w:val="005F75A2"/>
    <w:rsid w:val="005F7968"/>
    <w:rsid w:val="005F7CA3"/>
    <w:rsid w:val="006001C8"/>
    <w:rsid w:val="00600A27"/>
    <w:rsid w:val="00600F1D"/>
    <w:rsid w:val="00601428"/>
    <w:rsid w:val="006015EA"/>
    <w:rsid w:val="006025CB"/>
    <w:rsid w:val="006032F1"/>
    <w:rsid w:val="006036EB"/>
    <w:rsid w:val="00603C4A"/>
    <w:rsid w:val="00603DF2"/>
    <w:rsid w:val="006044E5"/>
    <w:rsid w:val="006047D0"/>
    <w:rsid w:val="00604914"/>
    <w:rsid w:val="00604F33"/>
    <w:rsid w:val="00605309"/>
    <w:rsid w:val="00606459"/>
    <w:rsid w:val="0060658A"/>
    <w:rsid w:val="00607ADD"/>
    <w:rsid w:val="006107D1"/>
    <w:rsid w:val="006112C4"/>
    <w:rsid w:val="0061172E"/>
    <w:rsid w:val="006125BC"/>
    <w:rsid w:val="00613FEB"/>
    <w:rsid w:val="00615D21"/>
    <w:rsid w:val="0061619A"/>
    <w:rsid w:val="006163C4"/>
    <w:rsid w:val="00617E4B"/>
    <w:rsid w:val="00620AB9"/>
    <w:rsid w:val="00620CD7"/>
    <w:rsid w:val="00620ECE"/>
    <w:rsid w:val="006217F8"/>
    <w:rsid w:val="006220A5"/>
    <w:rsid w:val="0062347D"/>
    <w:rsid w:val="00623B09"/>
    <w:rsid w:val="00623E6C"/>
    <w:rsid w:val="0062408A"/>
    <w:rsid w:val="00624241"/>
    <w:rsid w:val="006245CA"/>
    <w:rsid w:val="00624651"/>
    <w:rsid w:val="00624AD7"/>
    <w:rsid w:val="00625FE0"/>
    <w:rsid w:val="0062624A"/>
    <w:rsid w:val="00626738"/>
    <w:rsid w:val="006272DF"/>
    <w:rsid w:val="0062741A"/>
    <w:rsid w:val="00627713"/>
    <w:rsid w:val="00630367"/>
    <w:rsid w:val="006308B7"/>
    <w:rsid w:val="00630A62"/>
    <w:rsid w:val="006313C8"/>
    <w:rsid w:val="00631803"/>
    <w:rsid w:val="00632682"/>
    <w:rsid w:val="00632730"/>
    <w:rsid w:val="00632BD7"/>
    <w:rsid w:val="0063347B"/>
    <w:rsid w:val="00633DBF"/>
    <w:rsid w:val="00633E36"/>
    <w:rsid w:val="0063539F"/>
    <w:rsid w:val="006355FC"/>
    <w:rsid w:val="00635A4C"/>
    <w:rsid w:val="00636A63"/>
    <w:rsid w:val="00637720"/>
    <w:rsid w:val="00640488"/>
    <w:rsid w:val="0064066C"/>
    <w:rsid w:val="00640740"/>
    <w:rsid w:val="006407A6"/>
    <w:rsid w:val="00640828"/>
    <w:rsid w:val="006417E2"/>
    <w:rsid w:val="006425E8"/>
    <w:rsid w:val="00642625"/>
    <w:rsid w:val="00643764"/>
    <w:rsid w:val="00644085"/>
    <w:rsid w:val="00644812"/>
    <w:rsid w:val="00645458"/>
    <w:rsid w:val="00645EDC"/>
    <w:rsid w:val="0064684D"/>
    <w:rsid w:val="00647019"/>
    <w:rsid w:val="006506FD"/>
    <w:rsid w:val="00650B09"/>
    <w:rsid w:val="00651F5D"/>
    <w:rsid w:val="006524F3"/>
    <w:rsid w:val="00652586"/>
    <w:rsid w:val="00652835"/>
    <w:rsid w:val="00652952"/>
    <w:rsid w:val="0065309B"/>
    <w:rsid w:val="006531DF"/>
    <w:rsid w:val="006537A4"/>
    <w:rsid w:val="00653EEA"/>
    <w:rsid w:val="0065495A"/>
    <w:rsid w:val="0065499E"/>
    <w:rsid w:val="00655C9B"/>
    <w:rsid w:val="00656DB5"/>
    <w:rsid w:val="006572B1"/>
    <w:rsid w:val="00657419"/>
    <w:rsid w:val="0065781F"/>
    <w:rsid w:val="00661558"/>
    <w:rsid w:val="006620F7"/>
    <w:rsid w:val="006622B8"/>
    <w:rsid w:val="0066279A"/>
    <w:rsid w:val="006630C1"/>
    <w:rsid w:val="0066314C"/>
    <w:rsid w:val="00663299"/>
    <w:rsid w:val="0066333F"/>
    <w:rsid w:val="006635FE"/>
    <w:rsid w:val="00663679"/>
    <w:rsid w:val="00663929"/>
    <w:rsid w:val="00663D7D"/>
    <w:rsid w:val="006643BC"/>
    <w:rsid w:val="0066448D"/>
    <w:rsid w:val="0066461F"/>
    <w:rsid w:val="00665340"/>
    <w:rsid w:val="00666A51"/>
    <w:rsid w:val="00666B11"/>
    <w:rsid w:val="006676D5"/>
    <w:rsid w:val="006678C0"/>
    <w:rsid w:val="006706FF"/>
    <w:rsid w:val="00670CD3"/>
    <w:rsid w:val="00670FF2"/>
    <w:rsid w:val="00671896"/>
    <w:rsid w:val="00671CA6"/>
    <w:rsid w:val="00672D95"/>
    <w:rsid w:val="00672FF2"/>
    <w:rsid w:val="006738B2"/>
    <w:rsid w:val="00673B85"/>
    <w:rsid w:val="00673F37"/>
    <w:rsid w:val="00674BCD"/>
    <w:rsid w:val="00674FCE"/>
    <w:rsid w:val="00675913"/>
    <w:rsid w:val="00677BBB"/>
    <w:rsid w:val="00677E24"/>
    <w:rsid w:val="00677ED3"/>
    <w:rsid w:val="006808B4"/>
    <w:rsid w:val="00680FC0"/>
    <w:rsid w:val="00681D98"/>
    <w:rsid w:val="006820B2"/>
    <w:rsid w:val="0068227B"/>
    <w:rsid w:val="00682653"/>
    <w:rsid w:val="006829BD"/>
    <w:rsid w:val="00682C00"/>
    <w:rsid w:val="00682D73"/>
    <w:rsid w:val="00683A0D"/>
    <w:rsid w:val="00683F6E"/>
    <w:rsid w:val="0068454D"/>
    <w:rsid w:val="00684AC5"/>
    <w:rsid w:val="00684B5B"/>
    <w:rsid w:val="006858EA"/>
    <w:rsid w:val="00686879"/>
    <w:rsid w:val="00686948"/>
    <w:rsid w:val="00686AB5"/>
    <w:rsid w:val="006873D3"/>
    <w:rsid w:val="0068756E"/>
    <w:rsid w:val="00687E15"/>
    <w:rsid w:val="00690525"/>
    <w:rsid w:val="0069134E"/>
    <w:rsid w:val="0069138B"/>
    <w:rsid w:val="00691CBD"/>
    <w:rsid w:val="006927EC"/>
    <w:rsid w:val="00692B6B"/>
    <w:rsid w:val="00692C17"/>
    <w:rsid w:val="0069367A"/>
    <w:rsid w:val="00693ACE"/>
    <w:rsid w:val="00693EA8"/>
    <w:rsid w:val="006951D2"/>
    <w:rsid w:val="0069548A"/>
    <w:rsid w:val="00695F15"/>
    <w:rsid w:val="00696412"/>
    <w:rsid w:val="00696AC0"/>
    <w:rsid w:val="00696B4A"/>
    <w:rsid w:val="00696D72"/>
    <w:rsid w:val="00697787"/>
    <w:rsid w:val="006A0176"/>
    <w:rsid w:val="006A1207"/>
    <w:rsid w:val="006A1ECA"/>
    <w:rsid w:val="006A2055"/>
    <w:rsid w:val="006A3333"/>
    <w:rsid w:val="006A3C62"/>
    <w:rsid w:val="006A3D44"/>
    <w:rsid w:val="006A4113"/>
    <w:rsid w:val="006A6311"/>
    <w:rsid w:val="006B17A8"/>
    <w:rsid w:val="006B292F"/>
    <w:rsid w:val="006B2D67"/>
    <w:rsid w:val="006B3328"/>
    <w:rsid w:val="006B3BC7"/>
    <w:rsid w:val="006B765F"/>
    <w:rsid w:val="006B7E1B"/>
    <w:rsid w:val="006B7E59"/>
    <w:rsid w:val="006C05FE"/>
    <w:rsid w:val="006C1D79"/>
    <w:rsid w:val="006C200E"/>
    <w:rsid w:val="006C21E9"/>
    <w:rsid w:val="006C305E"/>
    <w:rsid w:val="006C4AED"/>
    <w:rsid w:val="006C4F0A"/>
    <w:rsid w:val="006C4FBB"/>
    <w:rsid w:val="006C52F2"/>
    <w:rsid w:val="006C5FB0"/>
    <w:rsid w:val="006C6587"/>
    <w:rsid w:val="006C7B0E"/>
    <w:rsid w:val="006D092A"/>
    <w:rsid w:val="006D1D81"/>
    <w:rsid w:val="006D2A92"/>
    <w:rsid w:val="006D3428"/>
    <w:rsid w:val="006D3506"/>
    <w:rsid w:val="006D4B5A"/>
    <w:rsid w:val="006D4C1E"/>
    <w:rsid w:val="006D4FF8"/>
    <w:rsid w:val="006D5564"/>
    <w:rsid w:val="006D6D26"/>
    <w:rsid w:val="006D714B"/>
    <w:rsid w:val="006E028B"/>
    <w:rsid w:val="006E23EA"/>
    <w:rsid w:val="006E256A"/>
    <w:rsid w:val="006E2912"/>
    <w:rsid w:val="006E29C6"/>
    <w:rsid w:val="006E2D54"/>
    <w:rsid w:val="006E2F60"/>
    <w:rsid w:val="006E394C"/>
    <w:rsid w:val="006E3A75"/>
    <w:rsid w:val="006E3D73"/>
    <w:rsid w:val="006E417A"/>
    <w:rsid w:val="006E6595"/>
    <w:rsid w:val="006E75CA"/>
    <w:rsid w:val="006F0068"/>
    <w:rsid w:val="006F01B3"/>
    <w:rsid w:val="006F02E3"/>
    <w:rsid w:val="006F0417"/>
    <w:rsid w:val="006F19D7"/>
    <w:rsid w:val="006F2A07"/>
    <w:rsid w:val="006F322D"/>
    <w:rsid w:val="006F33EE"/>
    <w:rsid w:val="006F45D4"/>
    <w:rsid w:val="006F466E"/>
    <w:rsid w:val="006F4A45"/>
    <w:rsid w:val="006F4ACD"/>
    <w:rsid w:val="006F67DD"/>
    <w:rsid w:val="006F68C7"/>
    <w:rsid w:val="006F798F"/>
    <w:rsid w:val="006F7A77"/>
    <w:rsid w:val="0070038C"/>
    <w:rsid w:val="00701C1D"/>
    <w:rsid w:val="00702B77"/>
    <w:rsid w:val="00702C8C"/>
    <w:rsid w:val="0070326D"/>
    <w:rsid w:val="00703A34"/>
    <w:rsid w:val="00703A47"/>
    <w:rsid w:val="00703E71"/>
    <w:rsid w:val="00704CCF"/>
    <w:rsid w:val="0070630E"/>
    <w:rsid w:val="00706D5F"/>
    <w:rsid w:val="007075C4"/>
    <w:rsid w:val="007079FD"/>
    <w:rsid w:val="00707AD1"/>
    <w:rsid w:val="00707E3F"/>
    <w:rsid w:val="007101E1"/>
    <w:rsid w:val="007106BB"/>
    <w:rsid w:val="00710F76"/>
    <w:rsid w:val="007112F4"/>
    <w:rsid w:val="0071143F"/>
    <w:rsid w:val="00711B07"/>
    <w:rsid w:val="00711C34"/>
    <w:rsid w:val="0071219C"/>
    <w:rsid w:val="007123D1"/>
    <w:rsid w:val="007135D4"/>
    <w:rsid w:val="00713E27"/>
    <w:rsid w:val="007145E9"/>
    <w:rsid w:val="00716028"/>
    <w:rsid w:val="00716539"/>
    <w:rsid w:val="007167A1"/>
    <w:rsid w:val="00716B05"/>
    <w:rsid w:val="00717CF9"/>
    <w:rsid w:val="00720C16"/>
    <w:rsid w:val="00721A0A"/>
    <w:rsid w:val="00721E94"/>
    <w:rsid w:val="007228B9"/>
    <w:rsid w:val="00722D5C"/>
    <w:rsid w:val="0072381F"/>
    <w:rsid w:val="00724088"/>
    <w:rsid w:val="00724641"/>
    <w:rsid w:val="00724A90"/>
    <w:rsid w:val="007250F6"/>
    <w:rsid w:val="007255E3"/>
    <w:rsid w:val="0072568F"/>
    <w:rsid w:val="0072630D"/>
    <w:rsid w:val="00726322"/>
    <w:rsid w:val="00726C74"/>
    <w:rsid w:val="0072754B"/>
    <w:rsid w:val="0073079C"/>
    <w:rsid w:val="007315ED"/>
    <w:rsid w:val="00731835"/>
    <w:rsid w:val="00731DBA"/>
    <w:rsid w:val="007324CF"/>
    <w:rsid w:val="00733921"/>
    <w:rsid w:val="00733EC4"/>
    <w:rsid w:val="007342F1"/>
    <w:rsid w:val="0073435A"/>
    <w:rsid w:val="0073509B"/>
    <w:rsid w:val="0073546E"/>
    <w:rsid w:val="0073606B"/>
    <w:rsid w:val="00736753"/>
    <w:rsid w:val="0073734C"/>
    <w:rsid w:val="00737F98"/>
    <w:rsid w:val="007401F7"/>
    <w:rsid w:val="0074114F"/>
    <w:rsid w:val="00741267"/>
    <w:rsid w:val="00743702"/>
    <w:rsid w:val="007437A4"/>
    <w:rsid w:val="00744783"/>
    <w:rsid w:val="007450F6"/>
    <w:rsid w:val="00745D5E"/>
    <w:rsid w:val="00746307"/>
    <w:rsid w:val="007477CD"/>
    <w:rsid w:val="00751130"/>
    <w:rsid w:val="007516D9"/>
    <w:rsid w:val="00751ABB"/>
    <w:rsid w:val="00751BA8"/>
    <w:rsid w:val="00751DAD"/>
    <w:rsid w:val="007520DE"/>
    <w:rsid w:val="007522B4"/>
    <w:rsid w:val="0075422A"/>
    <w:rsid w:val="0075490D"/>
    <w:rsid w:val="00754A29"/>
    <w:rsid w:val="00754CD4"/>
    <w:rsid w:val="007576FE"/>
    <w:rsid w:val="00760A92"/>
    <w:rsid w:val="00761CFE"/>
    <w:rsid w:val="00762AE4"/>
    <w:rsid w:val="00762B83"/>
    <w:rsid w:val="00762C72"/>
    <w:rsid w:val="00764173"/>
    <w:rsid w:val="0076450D"/>
    <w:rsid w:val="00764986"/>
    <w:rsid w:val="00764E7D"/>
    <w:rsid w:val="00765925"/>
    <w:rsid w:val="00765C1A"/>
    <w:rsid w:val="00765F48"/>
    <w:rsid w:val="0076621D"/>
    <w:rsid w:val="00766524"/>
    <w:rsid w:val="0076697E"/>
    <w:rsid w:val="00766E80"/>
    <w:rsid w:val="00770896"/>
    <w:rsid w:val="00770B10"/>
    <w:rsid w:val="00770FD9"/>
    <w:rsid w:val="0077121B"/>
    <w:rsid w:val="007715EF"/>
    <w:rsid w:val="007716A7"/>
    <w:rsid w:val="00772B9C"/>
    <w:rsid w:val="00772FD1"/>
    <w:rsid w:val="0077300C"/>
    <w:rsid w:val="007735F6"/>
    <w:rsid w:val="0077384D"/>
    <w:rsid w:val="00773CD7"/>
    <w:rsid w:val="00773E93"/>
    <w:rsid w:val="00773F63"/>
    <w:rsid w:val="007742C2"/>
    <w:rsid w:val="0077441F"/>
    <w:rsid w:val="007748A9"/>
    <w:rsid w:val="00775C15"/>
    <w:rsid w:val="00775CC2"/>
    <w:rsid w:val="0077625B"/>
    <w:rsid w:val="0077644A"/>
    <w:rsid w:val="00777FD9"/>
    <w:rsid w:val="007825D3"/>
    <w:rsid w:val="0078334C"/>
    <w:rsid w:val="00783501"/>
    <w:rsid w:val="00783F42"/>
    <w:rsid w:val="00784624"/>
    <w:rsid w:val="00784A43"/>
    <w:rsid w:val="00784B6F"/>
    <w:rsid w:val="007850B7"/>
    <w:rsid w:val="0078562D"/>
    <w:rsid w:val="00785890"/>
    <w:rsid w:val="007868C2"/>
    <w:rsid w:val="00786AE3"/>
    <w:rsid w:val="00787303"/>
    <w:rsid w:val="007879EB"/>
    <w:rsid w:val="00787DBD"/>
    <w:rsid w:val="00790CDB"/>
    <w:rsid w:val="00791014"/>
    <w:rsid w:val="00791408"/>
    <w:rsid w:val="00791519"/>
    <w:rsid w:val="007917B4"/>
    <w:rsid w:val="0079195A"/>
    <w:rsid w:val="00791C2A"/>
    <w:rsid w:val="007927B9"/>
    <w:rsid w:val="00792995"/>
    <w:rsid w:val="00792CD3"/>
    <w:rsid w:val="0079387F"/>
    <w:rsid w:val="00793AE6"/>
    <w:rsid w:val="00794335"/>
    <w:rsid w:val="00795723"/>
    <w:rsid w:val="0079674D"/>
    <w:rsid w:val="007968EF"/>
    <w:rsid w:val="00797216"/>
    <w:rsid w:val="0079736B"/>
    <w:rsid w:val="0079759C"/>
    <w:rsid w:val="007A1D51"/>
    <w:rsid w:val="007A281F"/>
    <w:rsid w:val="007A2878"/>
    <w:rsid w:val="007A2DAD"/>
    <w:rsid w:val="007A41C5"/>
    <w:rsid w:val="007A47C2"/>
    <w:rsid w:val="007A5AD1"/>
    <w:rsid w:val="007A5D56"/>
    <w:rsid w:val="007A6190"/>
    <w:rsid w:val="007A621B"/>
    <w:rsid w:val="007A63C9"/>
    <w:rsid w:val="007A6C9D"/>
    <w:rsid w:val="007A745B"/>
    <w:rsid w:val="007A7823"/>
    <w:rsid w:val="007A79F2"/>
    <w:rsid w:val="007B0442"/>
    <w:rsid w:val="007B3580"/>
    <w:rsid w:val="007B4BDF"/>
    <w:rsid w:val="007B4F64"/>
    <w:rsid w:val="007B51C4"/>
    <w:rsid w:val="007B57B4"/>
    <w:rsid w:val="007B76B2"/>
    <w:rsid w:val="007C032C"/>
    <w:rsid w:val="007C078B"/>
    <w:rsid w:val="007C11BF"/>
    <w:rsid w:val="007C16F7"/>
    <w:rsid w:val="007C1C9A"/>
    <w:rsid w:val="007C1F62"/>
    <w:rsid w:val="007C4745"/>
    <w:rsid w:val="007C4C2B"/>
    <w:rsid w:val="007C5547"/>
    <w:rsid w:val="007C55CB"/>
    <w:rsid w:val="007C59A3"/>
    <w:rsid w:val="007C7259"/>
    <w:rsid w:val="007D05AF"/>
    <w:rsid w:val="007D2BC9"/>
    <w:rsid w:val="007D31F7"/>
    <w:rsid w:val="007D3C15"/>
    <w:rsid w:val="007D3E3F"/>
    <w:rsid w:val="007D47EB"/>
    <w:rsid w:val="007D4EEC"/>
    <w:rsid w:val="007D59DD"/>
    <w:rsid w:val="007D5C1B"/>
    <w:rsid w:val="007D5FEA"/>
    <w:rsid w:val="007D6206"/>
    <w:rsid w:val="007D622D"/>
    <w:rsid w:val="007D62B2"/>
    <w:rsid w:val="007D630A"/>
    <w:rsid w:val="007D69C0"/>
    <w:rsid w:val="007D6A0C"/>
    <w:rsid w:val="007D6CBC"/>
    <w:rsid w:val="007D6EDD"/>
    <w:rsid w:val="007D7ECE"/>
    <w:rsid w:val="007E03F7"/>
    <w:rsid w:val="007E076A"/>
    <w:rsid w:val="007E08A2"/>
    <w:rsid w:val="007E0C92"/>
    <w:rsid w:val="007E191E"/>
    <w:rsid w:val="007E1B49"/>
    <w:rsid w:val="007E20A2"/>
    <w:rsid w:val="007E2303"/>
    <w:rsid w:val="007E23B1"/>
    <w:rsid w:val="007E319A"/>
    <w:rsid w:val="007E3246"/>
    <w:rsid w:val="007E375B"/>
    <w:rsid w:val="007E5878"/>
    <w:rsid w:val="007E616A"/>
    <w:rsid w:val="007E6AD9"/>
    <w:rsid w:val="007E6FD8"/>
    <w:rsid w:val="007E7BFB"/>
    <w:rsid w:val="007F0090"/>
    <w:rsid w:val="007F0097"/>
    <w:rsid w:val="007F04FC"/>
    <w:rsid w:val="007F24D5"/>
    <w:rsid w:val="007F35D6"/>
    <w:rsid w:val="007F47F7"/>
    <w:rsid w:val="007F5D3A"/>
    <w:rsid w:val="007F77A1"/>
    <w:rsid w:val="00800707"/>
    <w:rsid w:val="0080082D"/>
    <w:rsid w:val="00801AA7"/>
    <w:rsid w:val="00802170"/>
    <w:rsid w:val="00802B84"/>
    <w:rsid w:val="0080369B"/>
    <w:rsid w:val="00804A89"/>
    <w:rsid w:val="00804DAC"/>
    <w:rsid w:val="00805D75"/>
    <w:rsid w:val="00806B11"/>
    <w:rsid w:val="00806DAF"/>
    <w:rsid w:val="008102E5"/>
    <w:rsid w:val="00810375"/>
    <w:rsid w:val="008103CB"/>
    <w:rsid w:val="008106DD"/>
    <w:rsid w:val="00811429"/>
    <w:rsid w:val="008118A2"/>
    <w:rsid w:val="00811E4A"/>
    <w:rsid w:val="0081219E"/>
    <w:rsid w:val="00812CD2"/>
    <w:rsid w:val="00812DA3"/>
    <w:rsid w:val="00813216"/>
    <w:rsid w:val="00813D89"/>
    <w:rsid w:val="00814299"/>
    <w:rsid w:val="00814AD0"/>
    <w:rsid w:val="00814B77"/>
    <w:rsid w:val="008154FE"/>
    <w:rsid w:val="008161CB"/>
    <w:rsid w:val="00816274"/>
    <w:rsid w:val="008164F4"/>
    <w:rsid w:val="00817581"/>
    <w:rsid w:val="0081788E"/>
    <w:rsid w:val="00820021"/>
    <w:rsid w:val="0082223D"/>
    <w:rsid w:val="00823796"/>
    <w:rsid w:val="00823AC8"/>
    <w:rsid w:val="00823CE2"/>
    <w:rsid w:val="00823D3B"/>
    <w:rsid w:val="00825113"/>
    <w:rsid w:val="00826655"/>
    <w:rsid w:val="008274C9"/>
    <w:rsid w:val="00827D82"/>
    <w:rsid w:val="00830311"/>
    <w:rsid w:val="008304A9"/>
    <w:rsid w:val="008308A7"/>
    <w:rsid w:val="008308FF"/>
    <w:rsid w:val="00830DC3"/>
    <w:rsid w:val="008318F6"/>
    <w:rsid w:val="00831C19"/>
    <w:rsid w:val="0083252B"/>
    <w:rsid w:val="00832783"/>
    <w:rsid w:val="0083334D"/>
    <w:rsid w:val="008339F6"/>
    <w:rsid w:val="00833BD4"/>
    <w:rsid w:val="008340C5"/>
    <w:rsid w:val="008340EA"/>
    <w:rsid w:val="008351FF"/>
    <w:rsid w:val="008358AB"/>
    <w:rsid w:val="008359A5"/>
    <w:rsid w:val="00835BDF"/>
    <w:rsid w:val="00836041"/>
    <w:rsid w:val="00836AFD"/>
    <w:rsid w:val="00837024"/>
    <w:rsid w:val="00837117"/>
    <w:rsid w:val="00840645"/>
    <w:rsid w:val="00840707"/>
    <w:rsid w:val="00840CB1"/>
    <w:rsid w:val="00841C14"/>
    <w:rsid w:val="00841C53"/>
    <w:rsid w:val="00841D2D"/>
    <w:rsid w:val="0084269F"/>
    <w:rsid w:val="008428F9"/>
    <w:rsid w:val="0084357A"/>
    <w:rsid w:val="008435A1"/>
    <w:rsid w:val="00843E5B"/>
    <w:rsid w:val="0084412A"/>
    <w:rsid w:val="008449DC"/>
    <w:rsid w:val="00844C3B"/>
    <w:rsid w:val="00844C78"/>
    <w:rsid w:val="008457A1"/>
    <w:rsid w:val="008469FB"/>
    <w:rsid w:val="0084764C"/>
    <w:rsid w:val="00847D7D"/>
    <w:rsid w:val="0085004C"/>
    <w:rsid w:val="008505F5"/>
    <w:rsid w:val="00850A37"/>
    <w:rsid w:val="00850ADB"/>
    <w:rsid w:val="00850AFD"/>
    <w:rsid w:val="00850DEF"/>
    <w:rsid w:val="00850E81"/>
    <w:rsid w:val="00852412"/>
    <w:rsid w:val="00853309"/>
    <w:rsid w:val="00854289"/>
    <w:rsid w:val="00854915"/>
    <w:rsid w:val="00855380"/>
    <w:rsid w:val="008553A3"/>
    <w:rsid w:val="0085712A"/>
    <w:rsid w:val="00857275"/>
    <w:rsid w:val="00857288"/>
    <w:rsid w:val="0085759A"/>
    <w:rsid w:val="0085773E"/>
    <w:rsid w:val="0085791D"/>
    <w:rsid w:val="00857CAE"/>
    <w:rsid w:val="00862896"/>
    <w:rsid w:val="008639F8"/>
    <w:rsid w:val="00863F71"/>
    <w:rsid w:val="00865170"/>
    <w:rsid w:val="0086567B"/>
    <w:rsid w:val="00865F93"/>
    <w:rsid w:val="00866F24"/>
    <w:rsid w:val="00867BC2"/>
    <w:rsid w:val="0087060E"/>
    <w:rsid w:val="0087066F"/>
    <w:rsid w:val="00871B1F"/>
    <w:rsid w:val="00871EE0"/>
    <w:rsid w:val="00872D52"/>
    <w:rsid w:val="00873406"/>
    <w:rsid w:val="00874729"/>
    <w:rsid w:val="00875860"/>
    <w:rsid w:val="00876651"/>
    <w:rsid w:val="008769ED"/>
    <w:rsid w:val="00877476"/>
    <w:rsid w:val="008778C4"/>
    <w:rsid w:val="00877B71"/>
    <w:rsid w:val="00877FDE"/>
    <w:rsid w:val="008801D3"/>
    <w:rsid w:val="008805C3"/>
    <w:rsid w:val="00880C56"/>
    <w:rsid w:val="008813B5"/>
    <w:rsid w:val="00881F3F"/>
    <w:rsid w:val="00883554"/>
    <w:rsid w:val="0088389B"/>
    <w:rsid w:val="00883B8D"/>
    <w:rsid w:val="00883C96"/>
    <w:rsid w:val="00883CCA"/>
    <w:rsid w:val="00883F57"/>
    <w:rsid w:val="008858D9"/>
    <w:rsid w:val="00886E59"/>
    <w:rsid w:val="00886F5D"/>
    <w:rsid w:val="00886F9B"/>
    <w:rsid w:val="00887954"/>
    <w:rsid w:val="00887DAD"/>
    <w:rsid w:val="00890637"/>
    <w:rsid w:val="00890786"/>
    <w:rsid w:val="00890AEC"/>
    <w:rsid w:val="00890CDD"/>
    <w:rsid w:val="008917EB"/>
    <w:rsid w:val="00892577"/>
    <w:rsid w:val="008928B9"/>
    <w:rsid w:val="00893442"/>
    <w:rsid w:val="0089389F"/>
    <w:rsid w:val="008939DA"/>
    <w:rsid w:val="00893C60"/>
    <w:rsid w:val="0089434D"/>
    <w:rsid w:val="0089467B"/>
    <w:rsid w:val="00894DED"/>
    <w:rsid w:val="00895E99"/>
    <w:rsid w:val="0089618B"/>
    <w:rsid w:val="008967FC"/>
    <w:rsid w:val="00896FAC"/>
    <w:rsid w:val="00897680"/>
    <w:rsid w:val="00897A6D"/>
    <w:rsid w:val="008A0D04"/>
    <w:rsid w:val="008A0F72"/>
    <w:rsid w:val="008A11FF"/>
    <w:rsid w:val="008A1418"/>
    <w:rsid w:val="008A14A0"/>
    <w:rsid w:val="008A18A5"/>
    <w:rsid w:val="008A1F91"/>
    <w:rsid w:val="008A23FA"/>
    <w:rsid w:val="008A3F0C"/>
    <w:rsid w:val="008A459D"/>
    <w:rsid w:val="008A45D1"/>
    <w:rsid w:val="008A55BE"/>
    <w:rsid w:val="008A586B"/>
    <w:rsid w:val="008A6F0F"/>
    <w:rsid w:val="008A75B5"/>
    <w:rsid w:val="008A79DD"/>
    <w:rsid w:val="008A7FFE"/>
    <w:rsid w:val="008B0805"/>
    <w:rsid w:val="008B10E6"/>
    <w:rsid w:val="008B1D6A"/>
    <w:rsid w:val="008B2E1D"/>
    <w:rsid w:val="008B33A9"/>
    <w:rsid w:val="008B4159"/>
    <w:rsid w:val="008B510D"/>
    <w:rsid w:val="008B5381"/>
    <w:rsid w:val="008B543C"/>
    <w:rsid w:val="008B55B6"/>
    <w:rsid w:val="008B5B4C"/>
    <w:rsid w:val="008B5DEF"/>
    <w:rsid w:val="008B6342"/>
    <w:rsid w:val="008B73D4"/>
    <w:rsid w:val="008B7B68"/>
    <w:rsid w:val="008B7CE8"/>
    <w:rsid w:val="008C021D"/>
    <w:rsid w:val="008C02EA"/>
    <w:rsid w:val="008C0450"/>
    <w:rsid w:val="008C1B87"/>
    <w:rsid w:val="008C2516"/>
    <w:rsid w:val="008C2A9C"/>
    <w:rsid w:val="008C3055"/>
    <w:rsid w:val="008C31AE"/>
    <w:rsid w:val="008C35EC"/>
    <w:rsid w:val="008C36EB"/>
    <w:rsid w:val="008C4153"/>
    <w:rsid w:val="008C4AE3"/>
    <w:rsid w:val="008C51F7"/>
    <w:rsid w:val="008C639D"/>
    <w:rsid w:val="008C6BD0"/>
    <w:rsid w:val="008C6DF3"/>
    <w:rsid w:val="008C74D3"/>
    <w:rsid w:val="008C7BE4"/>
    <w:rsid w:val="008D1E89"/>
    <w:rsid w:val="008D2326"/>
    <w:rsid w:val="008D3120"/>
    <w:rsid w:val="008D35C1"/>
    <w:rsid w:val="008D3AFA"/>
    <w:rsid w:val="008D4A7F"/>
    <w:rsid w:val="008D564C"/>
    <w:rsid w:val="008D6660"/>
    <w:rsid w:val="008D6FCF"/>
    <w:rsid w:val="008D72D5"/>
    <w:rsid w:val="008D7326"/>
    <w:rsid w:val="008D75F9"/>
    <w:rsid w:val="008D7B4D"/>
    <w:rsid w:val="008D7EDD"/>
    <w:rsid w:val="008D7FDF"/>
    <w:rsid w:val="008E063E"/>
    <w:rsid w:val="008E21E6"/>
    <w:rsid w:val="008E284F"/>
    <w:rsid w:val="008E2D78"/>
    <w:rsid w:val="008E33E1"/>
    <w:rsid w:val="008E3631"/>
    <w:rsid w:val="008E374B"/>
    <w:rsid w:val="008E3BF7"/>
    <w:rsid w:val="008E4051"/>
    <w:rsid w:val="008E4547"/>
    <w:rsid w:val="008E4C39"/>
    <w:rsid w:val="008E5A57"/>
    <w:rsid w:val="008E5DB1"/>
    <w:rsid w:val="008E5FD7"/>
    <w:rsid w:val="008E6033"/>
    <w:rsid w:val="008E691A"/>
    <w:rsid w:val="008E727D"/>
    <w:rsid w:val="008E73E8"/>
    <w:rsid w:val="008E76FE"/>
    <w:rsid w:val="008F00F4"/>
    <w:rsid w:val="008F129F"/>
    <w:rsid w:val="008F1545"/>
    <w:rsid w:val="008F1A31"/>
    <w:rsid w:val="008F2ED0"/>
    <w:rsid w:val="008F5867"/>
    <w:rsid w:val="008F5B40"/>
    <w:rsid w:val="008F6018"/>
    <w:rsid w:val="008F6055"/>
    <w:rsid w:val="008F620B"/>
    <w:rsid w:val="008F6E80"/>
    <w:rsid w:val="008F7244"/>
    <w:rsid w:val="00900705"/>
    <w:rsid w:val="00900C83"/>
    <w:rsid w:val="00901108"/>
    <w:rsid w:val="00901F45"/>
    <w:rsid w:val="00902567"/>
    <w:rsid w:val="00903016"/>
    <w:rsid w:val="00903DD3"/>
    <w:rsid w:val="0090427A"/>
    <w:rsid w:val="00905267"/>
    <w:rsid w:val="009055A5"/>
    <w:rsid w:val="00905C29"/>
    <w:rsid w:val="0090655F"/>
    <w:rsid w:val="00906BAB"/>
    <w:rsid w:val="00907117"/>
    <w:rsid w:val="00907C29"/>
    <w:rsid w:val="0091023C"/>
    <w:rsid w:val="009102AA"/>
    <w:rsid w:val="009108DC"/>
    <w:rsid w:val="00910D78"/>
    <w:rsid w:val="00911A84"/>
    <w:rsid w:val="00913473"/>
    <w:rsid w:val="00913816"/>
    <w:rsid w:val="00913949"/>
    <w:rsid w:val="00913A72"/>
    <w:rsid w:val="009144EA"/>
    <w:rsid w:val="009151A1"/>
    <w:rsid w:val="00915849"/>
    <w:rsid w:val="009160A1"/>
    <w:rsid w:val="009162FF"/>
    <w:rsid w:val="009170FC"/>
    <w:rsid w:val="009173DE"/>
    <w:rsid w:val="00920969"/>
    <w:rsid w:val="00921085"/>
    <w:rsid w:val="0092325E"/>
    <w:rsid w:val="009233CC"/>
    <w:rsid w:val="009240F4"/>
    <w:rsid w:val="00924487"/>
    <w:rsid w:val="00924CDE"/>
    <w:rsid w:val="00925687"/>
    <w:rsid w:val="009265E0"/>
    <w:rsid w:val="009274ED"/>
    <w:rsid w:val="00927673"/>
    <w:rsid w:val="00927C47"/>
    <w:rsid w:val="00927EDF"/>
    <w:rsid w:val="00930491"/>
    <w:rsid w:val="00930F1F"/>
    <w:rsid w:val="00930FB6"/>
    <w:rsid w:val="0093154E"/>
    <w:rsid w:val="00931A01"/>
    <w:rsid w:val="00931A96"/>
    <w:rsid w:val="00932469"/>
    <w:rsid w:val="009326E7"/>
    <w:rsid w:val="009327B9"/>
    <w:rsid w:val="009331D6"/>
    <w:rsid w:val="009335C2"/>
    <w:rsid w:val="009337FB"/>
    <w:rsid w:val="00933C05"/>
    <w:rsid w:val="00933F71"/>
    <w:rsid w:val="009349BF"/>
    <w:rsid w:val="00934AAA"/>
    <w:rsid w:val="00934D2C"/>
    <w:rsid w:val="009357C2"/>
    <w:rsid w:val="009364DE"/>
    <w:rsid w:val="0093653F"/>
    <w:rsid w:val="009371B2"/>
    <w:rsid w:val="00937406"/>
    <w:rsid w:val="009374EE"/>
    <w:rsid w:val="009377B7"/>
    <w:rsid w:val="00937B48"/>
    <w:rsid w:val="009402BD"/>
    <w:rsid w:val="00940551"/>
    <w:rsid w:val="0094194A"/>
    <w:rsid w:val="00941A3A"/>
    <w:rsid w:val="00941F71"/>
    <w:rsid w:val="00942AEC"/>
    <w:rsid w:val="009441A4"/>
    <w:rsid w:val="00944371"/>
    <w:rsid w:val="0094438F"/>
    <w:rsid w:val="00944453"/>
    <w:rsid w:val="0094542B"/>
    <w:rsid w:val="00945AB3"/>
    <w:rsid w:val="00945E6A"/>
    <w:rsid w:val="00947BCF"/>
    <w:rsid w:val="00947CA8"/>
    <w:rsid w:val="00947E1B"/>
    <w:rsid w:val="0095055B"/>
    <w:rsid w:val="00950566"/>
    <w:rsid w:val="009505B1"/>
    <w:rsid w:val="00950BD2"/>
    <w:rsid w:val="00950D40"/>
    <w:rsid w:val="009510CB"/>
    <w:rsid w:val="009516EE"/>
    <w:rsid w:val="009519BA"/>
    <w:rsid w:val="00951BF8"/>
    <w:rsid w:val="00953536"/>
    <w:rsid w:val="00953906"/>
    <w:rsid w:val="0095391F"/>
    <w:rsid w:val="00953CDE"/>
    <w:rsid w:val="009546B0"/>
    <w:rsid w:val="009554E2"/>
    <w:rsid w:val="00955888"/>
    <w:rsid w:val="00955EAB"/>
    <w:rsid w:val="00955EE5"/>
    <w:rsid w:val="009563CB"/>
    <w:rsid w:val="00956D12"/>
    <w:rsid w:val="00956DEE"/>
    <w:rsid w:val="00957A39"/>
    <w:rsid w:val="0096091B"/>
    <w:rsid w:val="00960ADE"/>
    <w:rsid w:val="009614FA"/>
    <w:rsid w:val="00962A71"/>
    <w:rsid w:val="00962C5D"/>
    <w:rsid w:val="00962FA5"/>
    <w:rsid w:val="009642C2"/>
    <w:rsid w:val="00965943"/>
    <w:rsid w:val="00965AED"/>
    <w:rsid w:val="0096609D"/>
    <w:rsid w:val="00966463"/>
    <w:rsid w:val="0096692A"/>
    <w:rsid w:val="00967993"/>
    <w:rsid w:val="00970746"/>
    <w:rsid w:val="009720C6"/>
    <w:rsid w:val="009723DF"/>
    <w:rsid w:val="009726EE"/>
    <w:rsid w:val="00972BC8"/>
    <w:rsid w:val="00973405"/>
    <w:rsid w:val="0097380E"/>
    <w:rsid w:val="00973D2E"/>
    <w:rsid w:val="009744A5"/>
    <w:rsid w:val="00974D73"/>
    <w:rsid w:val="00975163"/>
    <w:rsid w:val="00975E8C"/>
    <w:rsid w:val="0097655D"/>
    <w:rsid w:val="00977357"/>
    <w:rsid w:val="0097748B"/>
    <w:rsid w:val="0097784E"/>
    <w:rsid w:val="009778E3"/>
    <w:rsid w:val="00977DD8"/>
    <w:rsid w:val="00980CE4"/>
    <w:rsid w:val="00980EA3"/>
    <w:rsid w:val="00982182"/>
    <w:rsid w:val="009822C6"/>
    <w:rsid w:val="00983A0E"/>
    <w:rsid w:val="009846FB"/>
    <w:rsid w:val="009849FF"/>
    <w:rsid w:val="0098515D"/>
    <w:rsid w:val="009856A2"/>
    <w:rsid w:val="00985953"/>
    <w:rsid w:val="00985E47"/>
    <w:rsid w:val="00986356"/>
    <w:rsid w:val="00986455"/>
    <w:rsid w:val="0098694A"/>
    <w:rsid w:val="0098714E"/>
    <w:rsid w:val="00987CC1"/>
    <w:rsid w:val="0099056A"/>
    <w:rsid w:val="009906C8"/>
    <w:rsid w:val="009917BE"/>
    <w:rsid w:val="00991D86"/>
    <w:rsid w:val="00991F8F"/>
    <w:rsid w:val="00992412"/>
    <w:rsid w:val="00992B41"/>
    <w:rsid w:val="00992C4E"/>
    <w:rsid w:val="00993F86"/>
    <w:rsid w:val="00995541"/>
    <w:rsid w:val="009968DA"/>
    <w:rsid w:val="00997458"/>
    <w:rsid w:val="009A1155"/>
    <w:rsid w:val="009A1886"/>
    <w:rsid w:val="009A18EF"/>
    <w:rsid w:val="009A1FB7"/>
    <w:rsid w:val="009A22F8"/>
    <w:rsid w:val="009A23F6"/>
    <w:rsid w:val="009A2A59"/>
    <w:rsid w:val="009A2EA7"/>
    <w:rsid w:val="009A3620"/>
    <w:rsid w:val="009A41F4"/>
    <w:rsid w:val="009A45E2"/>
    <w:rsid w:val="009A590B"/>
    <w:rsid w:val="009A66D9"/>
    <w:rsid w:val="009A6897"/>
    <w:rsid w:val="009A6D7A"/>
    <w:rsid w:val="009A7C0D"/>
    <w:rsid w:val="009B025C"/>
    <w:rsid w:val="009B1589"/>
    <w:rsid w:val="009B1BF4"/>
    <w:rsid w:val="009B1FB5"/>
    <w:rsid w:val="009B29B1"/>
    <w:rsid w:val="009B2AB8"/>
    <w:rsid w:val="009B38C6"/>
    <w:rsid w:val="009B3998"/>
    <w:rsid w:val="009B60F3"/>
    <w:rsid w:val="009B6910"/>
    <w:rsid w:val="009B692C"/>
    <w:rsid w:val="009B6E1C"/>
    <w:rsid w:val="009B71AC"/>
    <w:rsid w:val="009B7DE6"/>
    <w:rsid w:val="009C0105"/>
    <w:rsid w:val="009C03BA"/>
    <w:rsid w:val="009C1120"/>
    <w:rsid w:val="009C173E"/>
    <w:rsid w:val="009C2055"/>
    <w:rsid w:val="009C2186"/>
    <w:rsid w:val="009C2418"/>
    <w:rsid w:val="009C2456"/>
    <w:rsid w:val="009C31CF"/>
    <w:rsid w:val="009C39FC"/>
    <w:rsid w:val="009C3E87"/>
    <w:rsid w:val="009C409D"/>
    <w:rsid w:val="009C4B40"/>
    <w:rsid w:val="009C4F7D"/>
    <w:rsid w:val="009C68F6"/>
    <w:rsid w:val="009C69FF"/>
    <w:rsid w:val="009C6C44"/>
    <w:rsid w:val="009C6C9D"/>
    <w:rsid w:val="009C7BB3"/>
    <w:rsid w:val="009D015C"/>
    <w:rsid w:val="009D0536"/>
    <w:rsid w:val="009D109A"/>
    <w:rsid w:val="009D12C5"/>
    <w:rsid w:val="009D1657"/>
    <w:rsid w:val="009D2A87"/>
    <w:rsid w:val="009D38F9"/>
    <w:rsid w:val="009D473D"/>
    <w:rsid w:val="009D52D5"/>
    <w:rsid w:val="009D6D86"/>
    <w:rsid w:val="009D707A"/>
    <w:rsid w:val="009D7319"/>
    <w:rsid w:val="009D744D"/>
    <w:rsid w:val="009D759A"/>
    <w:rsid w:val="009D7A87"/>
    <w:rsid w:val="009D7CB4"/>
    <w:rsid w:val="009E1906"/>
    <w:rsid w:val="009E1C9F"/>
    <w:rsid w:val="009E2264"/>
    <w:rsid w:val="009E3BA7"/>
    <w:rsid w:val="009E43DD"/>
    <w:rsid w:val="009E4747"/>
    <w:rsid w:val="009E4E0D"/>
    <w:rsid w:val="009E50F7"/>
    <w:rsid w:val="009E510B"/>
    <w:rsid w:val="009E61F5"/>
    <w:rsid w:val="009E64CE"/>
    <w:rsid w:val="009E72C9"/>
    <w:rsid w:val="009E77E3"/>
    <w:rsid w:val="009F0889"/>
    <w:rsid w:val="009F10C8"/>
    <w:rsid w:val="009F10DB"/>
    <w:rsid w:val="009F1B0C"/>
    <w:rsid w:val="009F1B5D"/>
    <w:rsid w:val="009F1E80"/>
    <w:rsid w:val="009F3611"/>
    <w:rsid w:val="009F3DD5"/>
    <w:rsid w:val="009F4A8D"/>
    <w:rsid w:val="009F4C50"/>
    <w:rsid w:val="009F6BDC"/>
    <w:rsid w:val="009F6BFE"/>
    <w:rsid w:val="009F70DE"/>
    <w:rsid w:val="009F70EE"/>
    <w:rsid w:val="009F7551"/>
    <w:rsid w:val="00A007E7"/>
    <w:rsid w:val="00A01E02"/>
    <w:rsid w:val="00A0209B"/>
    <w:rsid w:val="00A02C06"/>
    <w:rsid w:val="00A03BD3"/>
    <w:rsid w:val="00A0446C"/>
    <w:rsid w:val="00A044E3"/>
    <w:rsid w:val="00A049AB"/>
    <w:rsid w:val="00A052B3"/>
    <w:rsid w:val="00A0542E"/>
    <w:rsid w:val="00A05570"/>
    <w:rsid w:val="00A05F42"/>
    <w:rsid w:val="00A06B79"/>
    <w:rsid w:val="00A06BD4"/>
    <w:rsid w:val="00A0779E"/>
    <w:rsid w:val="00A10F7B"/>
    <w:rsid w:val="00A1126A"/>
    <w:rsid w:val="00A119E0"/>
    <w:rsid w:val="00A11CF8"/>
    <w:rsid w:val="00A11E71"/>
    <w:rsid w:val="00A12A0B"/>
    <w:rsid w:val="00A12CCF"/>
    <w:rsid w:val="00A1329F"/>
    <w:rsid w:val="00A13E69"/>
    <w:rsid w:val="00A14696"/>
    <w:rsid w:val="00A14DB1"/>
    <w:rsid w:val="00A156F6"/>
    <w:rsid w:val="00A15AC1"/>
    <w:rsid w:val="00A16B35"/>
    <w:rsid w:val="00A1749F"/>
    <w:rsid w:val="00A17F43"/>
    <w:rsid w:val="00A2035C"/>
    <w:rsid w:val="00A20E12"/>
    <w:rsid w:val="00A20FD2"/>
    <w:rsid w:val="00A216CE"/>
    <w:rsid w:val="00A2266C"/>
    <w:rsid w:val="00A226E8"/>
    <w:rsid w:val="00A23A23"/>
    <w:rsid w:val="00A24BF2"/>
    <w:rsid w:val="00A2528D"/>
    <w:rsid w:val="00A25855"/>
    <w:rsid w:val="00A26A59"/>
    <w:rsid w:val="00A26A66"/>
    <w:rsid w:val="00A26AB2"/>
    <w:rsid w:val="00A3106B"/>
    <w:rsid w:val="00A3136C"/>
    <w:rsid w:val="00A335B5"/>
    <w:rsid w:val="00A336B7"/>
    <w:rsid w:val="00A3472F"/>
    <w:rsid w:val="00A3523A"/>
    <w:rsid w:val="00A352C4"/>
    <w:rsid w:val="00A35655"/>
    <w:rsid w:val="00A35D30"/>
    <w:rsid w:val="00A363C8"/>
    <w:rsid w:val="00A365EC"/>
    <w:rsid w:val="00A379A3"/>
    <w:rsid w:val="00A37C17"/>
    <w:rsid w:val="00A41391"/>
    <w:rsid w:val="00A41E8B"/>
    <w:rsid w:val="00A4203D"/>
    <w:rsid w:val="00A42566"/>
    <w:rsid w:val="00A43870"/>
    <w:rsid w:val="00A43DC2"/>
    <w:rsid w:val="00A4425B"/>
    <w:rsid w:val="00A4457A"/>
    <w:rsid w:val="00A447A3"/>
    <w:rsid w:val="00A4481E"/>
    <w:rsid w:val="00A449EB"/>
    <w:rsid w:val="00A46D5F"/>
    <w:rsid w:val="00A47609"/>
    <w:rsid w:val="00A502B5"/>
    <w:rsid w:val="00A5035B"/>
    <w:rsid w:val="00A51397"/>
    <w:rsid w:val="00A51D62"/>
    <w:rsid w:val="00A51E65"/>
    <w:rsid w:val="00A523EB"/>
    <w:rsid w:val="00A52A20"/>
    <w:rsid w:val="00A53652"/>
    <w:rsid w:val="00A53657"/>
    <w:rsid w:val="00A5365D"/>
    <w:rsid w:val="00A53FDB"/>
    <w:rsid w:val="00A54287"/>
    <w:rsid w:val="00A54B77"/>
    <w:rsid w:val="00A54C1B"/>
    <w:rsid w:val="00A54C33"/>
    <w:rsid w:val="00A561E9"/>
    <w:rsid w:val="00A57019"/>
    <w:rsid w:val="00A60548"/>
    <w:rsid w:val="00A605EB"/>
    <w:rsid w:val="00A6178B"/>
    <w:rsid w:val="00A61CA0"/>
    <w:rsid w:val="00A61CAF"/>
    <w:rsid w:val="00A62633"/>
    <w:rsid w:val="00A6293D"/>
    <w:rsid w:val="00A62961"/>
    <w:rsid w:val="00A638D6"/>
    <w:rsid w:val="00A639C9"/>
    <w:rsid w:val="00A63FE6"/>
    <w:rsid w:val="00A64668"/>
    <w:rsid w:val="00A64CD1"/>
    <w:rsid w:val="00A667A6"/>
    <w:rsid w:val="00A67233"/>
    <w:rsid w:val="00A70144"/>
    <w:rsid w:val="00A70800"/>
    <w:rsid w:val="00A70A56"/>
    <w:rsid w:val="00A70CDB"/>
    <w:rsid w:val="00A70FC1"/>
    <w:rsid w:val="00A72B26"/>
    <w:rsid w:val="00A72F7D"/>
    <w:rsid w:val="00A73499"/>
    <w:rsid w:val="00A734BC"/>
    <w:rsid w:val="00A74AD5"/>
    <w:rsid w:val="00A74F11"/>
    <w:rsid w:val="00A751AE"/>
    <w:rsid w:val="00A754BD"/>
    <w:rsid w:val="00A75530"/>
    <w:rsid w:val="00A75542"/>
    <w:rsid w:val="00A7602B"/>
    <w:rsid w:val="00A76835"/>
    <w:rsid w:val="00A775D6"/>
    <w:rsid w:val="00A77B63"/>
    <w:rsid w:val="00A77F4A"/>
    <w:rsid w:val="00A8003F"/>
    <w:rsid w:val="00A80C72"/>
    <w:rsid w:val="00A818B2"/>
    <w:rsid w:val="00A81F10"/>
    <w:rsid w:val="00A820A6"/>
    <w:rsid w:val="00A8287B"/>
    <w:rsid w:val="00A831E8"/>
    <w:rsid w:val="00A83A53"/>
    <w:rsid w:val="00A83ACB"/>
    <w:rsid w:val="00A83D86"/>
    <w:rsid w:val="00A83E0B"/>
    <w:rsid w:val="00A84451"/>
    <w:rsid w:val="00A8516F"/>
    <w:rsid w:val="00A85197"/>
    <w:rsid w:val="00A859E6"/>
    <w:rsid w:val="00A86412"/>
    <w:rsid w:val="00A86CF4"/>
    <w:rsid w:val="00A87B21"/>
    <w:rsid w:val="00A9064D"/>
    <w:rsid w:val="00A90EB3"/>
    <w:rsid w:val="00A91550"/>
    <w:rsid w:val="00A91625"/>
    <w:rsid w:val="00A925D7"/>
    <w:rsid w:val="00A92CE5"/>
    <w:rsid w:val="00A931D2"/>
    <w:rsid w:val="00A94150"/>
    <w:rsid w:val="00A951BE"/>
    <w:rsid w:val="00A95572"/>
    <w:rsid w:val="00A956CB"/>
    <w:rsid w:val="00A95863"/>
    <w:rsid w:val="00A958FA"/>
    <w:rsid w:val="00A95B93"/>
    <w:rsid w:val="00A95C85"/>
    <w:rsid w:val="00A96507"/>
    <w:rsid w:val="00A96AE1"/>
    <w:rsid w:val="00A97403"/>
    <w:rsid w:val="00A97A07"/>
    <w:rsid w:val="00A97B6D"/>
    <w:rsid w:val="00AA01B9"/>
    <w:rsid w:val="00AA0EA0"/>
    <w:rsid w:val="00AA1B9F"/>
    <w:rsid w:val="00AA204C"/>
    <w:rsid w:val="00AA210F"/>
    <w:rsid w:val="00AA2162"/>
    <w:rsid w:val="00AA2F0C"/>
    <w:rsid w:val="00AA3D34"/>
    <w:rsid w:val="00AA3E6A"/>
    <w:rsid w:val="00AA3F16"/>
    <w:rsid w:val="00AA5047"/>
    <w:rsid w:val="00AA5704"/>
    <w:rsid w:val="00AA7260"/>
    <w:rsid w:val="00AB3761"/>
    <w:rsid w:val="00AB387E"/>
    <w:rsid w:val="00AB459E"/>
    <w:rsid w:val="00AB4AC3"/>
    <w:rsid w:val="00AB4E71"/>
    <w:rsid w:val="00AB5E7A"/>
    <w:rsid w:val="00AB5F7C"/>
    <w:rsid w:val="00AB6385"/>
    <w:rsid w:val="00AB63AE"/>
    <w:rsid w:val="00AB665C"/>
    <w:rsid w:val="00AB6F88"/>
    <w:rsid w:val="00AB76BD"/>
    <w:rsid w:val="00AC0582"/>
    <w:rsid w:val="00AC07C5"/>
    <w:rsid w:val="00AC0D8D"/>
    <w:rsid w:val="00AC10F1"/>
    <w:rsid w:val="00AC136A"/>
    <w:rsid w:val="00AC1596"/>
    <w:rsid w:val="00AC1731"/>
    <w:rsid w:val="00AC1F71"/>
    <w:rsid w:val="00AC23DF"/>
    <w:rsid w:val="00AC264F"/>
    <w:rsid w:val="00AC3836"/>
    <w:rsid w:val="00AC4271"/>
    <w:rsid w:val="00AC4949"/>
    <w:rsid w:val="00AC530D"/>
    <w:rsid w:val="00AC573F"/>
    <w:rsid w:val="00AC7812"/>
    <w:rsid w:val="00AC7C4A"/>
    <w:rsid w:val="00AC7DF2"/>
    <w:rsid w:val="00AD0160"/>
    <w:rsid w:val="00AD05A1"/>
    <w:rsid w:val="00AD12D2"/>
    <w:rsid w:val="00AD14FD"/>
    <w:rsid w:val="00AD1C49"/>
    <w:rsid w:val="00AD3071"/>
    <w:rsid w:val="00AD3564"/>
    <w:rsid w:val="00AD412D"/>
    <w:rsid w:val="00AD46F8"/>
    <w:rsid w:val="00AD4E9E"/>
    <w:rsid w:val="00AD5C1A"/>
    <w:rsid w:val="00AD6652"/>
    <w:rsid w:val="00AD6785"/>
    <w:rsid w:val="00AD733D"/>
    <w:rsid w:val="00AD7812"/>
    <w:rsid w:val="00AE04B0"/>
    <w:rsid w:val="00AE0B83"/>
    <w:rsid w:val="00AE14AA"/>
    <w:rsid w:val="00AE195A"/>
    <w:rsid w:val="00AE20F2"/>
    <w:rsid w:val="00AE25CE"/>
    <w:rsid w:val="00AE333E"/>
    <w:rsid w:val="00AE33DE"/>
    <w:rsid w:val="00AE3799"/>
    <w:rsid w:val="00AE3C5D"/>
    <w:rsid w:val="00AE3ED1"/>
    <w:rsid w:val="00AE3F17"/>
    <w:rsid w:val="00AE44D4"/>
    <w:rsid w:val="00AE4896"/>
    <w:rsid w:val="00AE4FFF"/>
    <w:rsid w:val="00AE5953"/>
    <w:rsid w:val="00AE5F16"/>
    <w:rsid w:val="00AE672C"/>
    <w:rsid w:val="00AE723A"/>
    <w:rsid w:val="00AE72E0"/>
    <w:rsid w:val="00AE7542"/>
    <w:rsid w:val="00AE7AE4"/>
    <w:rsid w:val="00AF056C"/>
    <w:rsid w:val="00AF0576"/>
    <w:rsid w:val="00AF1284"/>
    <w:rsid w:val="00AF1527"/>
    <w:rsid w:val="00AF1C27"/>
    <w:rsid w:val="00AF1C34"/>
    <w:rsid w:val="00AF2069"/>
    <w:rsid w:val="00AF224A"/>
    <w:rsid w:val="00AF243A"/>
    <w:rsid w:val="00AF2E1C"/>
    <w:rsid w:val="00AF3281"/>
    <w:rsid w:val="00AF3A2D"/>
    <w:rsid w:val="00AF3BE0"/>
    <w:rsid w:val="00AF40A3"/>
    <w:rsid w:val="00AF44A4"/>
    <w:rsid w:val="00AF46A7"/>
    <w:rsid w:val="00AF5B08"/>
    <w:rsid w:val="00AF5F9F"/>
    <w:rsid w:val="00AF6422"/>
    <w:rsid w:val="00AF6A83"/>
    <w:rsid w:val="00AF7548"/>
    <w:rsid w:val="00AF7805"/>
    <w:rsid w:val="00B00AED"/>
    <w:rsid w:val="00B00D1C"/>
    <w:rsid w:val="00B00E7D"/>
    <w:rsid w:val="00B017DB"/>
    <w:rsid w:val="00B01DF8"/>
    <w:rsid w:val="00B024EB"/>
    <w:rsid w:val="00B025D0"/>
    <w:rsid w:val="00B034C8"/>
    <w:rsid w:val="00B03B2B"/>
    <w:rsid w:val="00B03D0B"/>
    <w:rsid w:val="00B04429"/>
    <w:rsid w:val="00B049A2"/>
    <w:rsid w:val="00B04E98"/>
    <w:rsid w:val="00B06EC9"/>
    <w:rsid w:val="00B1042E"/>
    <w:rsid w:val="00B10B3F"/>
    <w:rsid w:val="00B10D58"/>
    <w:rsid w:val="00B11138"/>
    <w:rsid w:val="00B11355"/>
    <w:rsid w:val="00B11493"/>
    <w:rsid w:val="00B119C0"/>
    <w:rsid w:val="00B11B66"/>
    <w:rsid w:val="00B121E7"/>
    <w:rsid w:val="00B12674"/>
    <w:rsid w:val="00B146FD"/>
    <w:rsid w:val="00B1490A"/>
    <w:rsid w:val="00B15239"/>
    <w:rsid w:val="00B15ACA"/>
    <w:rsid w:val="00B15B49"/>
    <w:rsid w:val="00B15ECF"/>
    <w:rsid w:val="00B16068"/>
    <w:rsid w:val="00B1672E"/>
    <w:rsid w:val="00B171D6"/>
    <w:rsid w:val="00B17DEC"/>
    <w:rsid w:val="00B20EB1"/>
    <w:rsid w:val="00B21478"/>
    <w:rsid w:val="00B21540"/>
    <w:rsid w:val="00B21749"/>
    <w:rsid w:val="00B21B0E"/>
    <w:rsid w:val="00B22FA0"/>
    <w:rsid w:val="00B23561"/>
    <w:rsid w:val="00B24621"/>
    <w:rsid w:val="00B24AB1"/>
    <w:rsid w:val="00B256A9"/>
    <w:rsid w:val="00B25AC1"/>
    <w:rsid w:val="00B25DB2"/>
    <w:rsid w:val="00B262D6"/>
    <w:rsid w:val="00B264FD"/>
    <w:rsid w:val="00B2661B"/>
    <w:rsid w:val="00B26A80"/>
    <w:rsid w:val="00B2737C"/>
    <w:rsid w:val="00B27475"/>
    <w:rsid w:val="00B2756B"/>
    <w:rsid w:val="00B311DB"/>
    <w:rsid w:val="00B3193C"/>
    <w:rsid w:val="00B31B6D"/>
    <w:rsid w:val="00B323C4"/>
    <w:rsid w:val="00B32FB2"/>
    <w:rsid w:val="00B34604"/>
    <w:rsid w:val="00B34EAC"/>
    <w:rsid w:val="00B3527B"/>
    <w:rsid w:val="00B35DF9"/>
    <w:rsid w:val="00B36A2C"/>
    <w:rsid w:val="00B36BC7"/>
    <w:rsid w:val="00B36C83"/>
    <w:rsid w:val="00B36E08"/>
    <w:rsid w:val="00B37096"/>
    <w:rsid w:val="00B37716"/>
    <w:rsid w:val="00B37F30"/>
    <w:rsid w:val="00B40018"/>
    <w:rsid w:val="00B416FB"/>
    <w:rsid w:val="00B4179C"/>
    <w:rsid w:val="00B43821"/>
    <w:rsid w:val="00B43B09"/>
    <w:rsid w:val="00B4413D"/>
    <w:rsid w:val="00B44403"/>
    <w:rsid w:val="00B44916"/>
    <w:rsid w:val="00B44F78"/>
    <w:rsid w:val="00B451D0"/>
    <w:rsid w:val="00B45721"/>
    <w:rsid w:val="00B45B3F"/>
    <w:rsid w:val="00B46897"/>
    <w:rsid w:val="00B46B77"/>
    <w:rsid w:val="00B4718B"/>
    <w:rsid w:val="00B47469"/>
    <w:rsid w:val="00B477B4"/>
    <w:rsid w:val="00B504A5"/>
    <w:rsid w:val="00B50640"/>
    <w:rsid w:val="00B50EA6"/>
    <w:rsid w:val="00B51547"/>
    <w:rsid w:val="00B51F49"/>
    <w:rsid w:val="00B52289"/>
    <w:rsid w:val="00B52C87"/>
    <w:rsid w:val="00B53AFF"/>
    <w:rsid w:val="00B53EFC"/>
    <w:rsid w:val="00B5489A"/>
    <w:rsid w:val="00B54D79"/>
    <w:rsid w:val="00B5501B"/>
    <w:rsid w:val="00B5678D"/>
    <w:rsid w:val="00B56A27"/>
    <w:rsid w:val="00B56A8F"/>
    <w:rsid w:val="00B56EDF"/>
    <w:rsid w:val="00B57506"/>
    <w:rsid w:val="00B60863"/>
    <w:rsid w:val="00B60D35"/>
    <w:rsid w:val="00B60DE3"/>
    <w:rsid w:val="00B618BF"/>
    <w:rsid w:val="00B634FD"/>
    <w:rsid w:val="00B637F1"/>
    <w:rsid w:val="00B65097"/>
    <w:rsid w:val="00B6574E"/>
    <w:rsid w:val="00B65995"/>
    <w:rsid w:val="00B660F8"/>
    <w:rsid w:val="00B6680B"/>
    <w:rsid w:val="00B701CD"/>
    <w:rsid w:val="00B707EC"/>
    <w:rsid w:val="00B71657"/>
    <w:rsid w:val="00B72191"/>
    <w:rsid w:val="00B7277D"/>
    <w:rsid w:val="00B72F85"/>
    <w:rsid w:val="00B73902"/>
    <w:rsid w:val="00B73BC9"/>
    <w:rsid w:val="00B73F24"/>
    <w:rsid w:val="00B74022"/>
    <w:rsid w:val="00B7456D"/>
    <w:rsid w:val="00B748B7"/>
    <w:rsid w:val="00B7508A"/>
    <w:rsid w:val="00B770F2"/>
    <w:rsid w:val="00B77F5B"/>
    <w:rsid w:val="00B8025B"/>
    <w:rsid w:val="00B8058A"/>
    <w:rsid w:val="00B81335"/>
    <w:rsid w:val="00B813AC"/>
    <w:rsid w:val="00B81411"/>
    <w:rsid w:val="00B82071"/>
    <w:rsid w:val="00B82389"/>
    <w:rsid w:val="00B82614"/>
    <w:rsid w:val="00B839CB"/>
    <w:rsid w:val="00B83E26"/>
    <w:rsid w:val="00B84E98"/>
    <w:rsid w:val="00B84E9C"/>
    <w:rsid w:val="00B84EF1"/>
    <w:rsid w:val="00B84FCE"/>
    <w:rsid w:val="00B852BB"/>
    <w:rsid w:val="00B85470"/>
    <w:rsid w:val="00B854B2"/>
    <w:rsid w:val="00B8598A"/>
    <w:rsid w:val="00B85A2F"/>
    <w:rsid w:val="00B86914"/>
    <w:rsid w:val="00B8696F"/>
    <w:rsid w:val="00B86A06"/>
    <w:rsid w:val="00B878EC"/>
    <w:rsid w:val="00B9008D"/>
    <w:rsid w:val="00B9067D"/>
    <w:rsid w:val="00B91356"/>
    <w:rsid w:val="00B915F4"/>
    <w:rsid w:val="00B919BF"/>
    <w:rsid w:val="00B91EDC"/>
    <w:rsid w:val="00B92FC4"/>
    <w:rsid w:val="00B93709"/>
    <w:rsid w:val="00B93D67"/>
    <w:rsid w:val="00B94668"/>
    <w:rsid w:val="00B94C29"/>
    <w:rsid w:val="00B94CCF"/>
    <w:rsid w:val="00B95630"/>
    <w:rsid w:val="00B95C04"/>
    <w:rsid w:val="00B96835"/>
    <w:rsid w:val="00B9689A"/>
    <w:rsid w:val="00B9689F"/>
    <w:rsid w:val="00B96979"/>
    <w:rsid w:val="00B97EA8"/>
    <w:rsid w:val="00B97F70"/>
    <w:rsid w:val="00BA0A41"/>
    <w:rsid w:val="00BA35F4"/>
    <w:rsid w:val="00BA3F66"/>
    <w:rsid w:val="00BA4657"/>
    <w:rsid w:val="00BA5E7A"/>
    <w:rsid w:val="00BA621F"/>
    <w:rsid w:val="00BA706C"/>
    <w:rsid w:val="00BA74C2"/>
    <w:rsid w:val="00BB033C"/>
    <w:rsid w:val="00BB066D"/>
    <w:rsid w:val="00BB0E0D"/>
    <w:rsid w:val="00BB1147"/>
    <w:rsid w:val="00BB1401"/>
    <w:rsid w:val="00BB15F1"/>
    <w:rsid w:val="00BB2116"/>
    <w:rsid w:val="00BB23EB"/>
    <w:rsid w:val="00BB300F"/>
    <w:rsid w:val="00BB304E"/>
    <w:rsid w:val="00BB4323"/>
    <w:rsid w:val="00BB4B84"/>
    <w:rsid w:val="00BB6E62"/>
    <w:rsid w:val="00BB71F0"/>
    <w:rsid w:val="00BBCEF3"/>
    <w:rsid w:val="00BC0472"/>
    <w:rsid w:val="00BC2073"/>
    <w:rsid w:val="00BC2D90"/>
    <w:rsid w:val="00BC33B8"/>
    <w:rsid w:val="00BC3923"/>
    <w:rsid w:val="00BC3E42"/>
    <w:rsid w:val="00BC569D"/>
    <w:rsid w:val="00BC62ED"/>
    <w:rsid w:val="00BC6564"/>
    <w:rsid w:val="00BC6A33"/>
    <w:rsid w:val="00BC6C12"/>
    <w:rsid w:val="00BC7210"/>
    <w:rsid w:val="00BC79C8"/>
    <w:rsid w:val="00BC7BB2"/>
    <w:rsid w:val="00BD02BE"/>
    <w:rsid w:val="00BD216C"/>
    <w:rsid w:val="00BD2457"/>
    <w:rsid w:val="00BD318F"/>
    <w:rsid w:val="00BD3407"/>
    <w:rsid w:val="00BD4BB4"/>
    <w:rsid w:val="00BD52C3"/>
    <w:rsid w:val="00BD56D1"/>
    <w:rsid w:val="00BD5C61"/>
    <w:rsid w:val="00BD6745"/>
    <w:rsid w:val="00BD6905"/>
    <w:rsid w:val="00BD6BE8"/>
    <w:rsid w:val="00BD7517"/>
    <w:rsid w:val="00BD75FD"/>
    <w:rsid w:val="00BD7A4F"/>
    <w:rsid w:val="00BD7B9B"/>
    <w:rsid w:val="00BD7F2D"/>
    <w:rsid w:val="00BE050F"/>
    <w:rsid w:val="00BE063C"/>
    <w:rsid w:val="00BE116F"/>
    <w:rsid w:val="00BE167D"/>
    <w:rsid w:val="00BE1CE6"/>
    <w:rsid w:val="00BE30F2"/>
    <w:rsid w:val="00BE3378"/>
    <w:rsid w:val="00BE3C3B"/>
    <w:rsid w:val="00BE4873"/>
    <w:rsid w:val="00BE5B9E"/>
    <w:rsid w:val="00BE6C8F"/>
    <w:rsid w:val="00BE7B7F"/>
    <w:rsid w:val="00BF0155"/>
    <w:rsid w:val="00BF0193"/>
    <w:rsid w:val="00BF08CD"/>
    <w:rsid w:val="00BF0E99"/>
    <w:rsid w:val="00BF0FFB"/>
    <w:rsid w:val="00BF106D"/>
    <w:rsid w:val="00BF135A"/>
    <w:rsid w:val="00BF1D16"/>
    <w:rsid w:val="00BF234E"/>
    <w:rsid w:val="00BF2B60"/>
    <w:rsid w:val="00BF2C6B"/>
    <w:rsid w:val="00BF48AC"/>
    <w:rsid w:val="00BF6025"/>
    <w:rsid w:val="00BF6741"/>
    <w:rsid w:val="00BF677F"/>
    <w:rsid w:val="00BF6CBB"/>
    <w:rsid w:val="00BF6F8E"/>
    <w:rsid w:val="00BF6F94"/>
    <w:rsid w:val="00BF7983"/>
    <w:rsid w:val="00C00376"/>
    <w:rsid w:val="00C00464"/>
    <w:rsid w:val="00C00641"/>
    <w:rsid w:val="00C008BE"/>
    <w:rsid w:val="00C00BDA"/>
    <w:rsid w:val="00C01ECF"/>
    <w:rsid w:val="00C032CC"/>
    <w:rsid w:val="00C036B1"/>
    <w:rsid w:val="00C037A5"/>
    <w:rsid w:val="00C03FB4"/>
    <w:rsid w:val="00C03FDD"/>
    <w:rsid w:val="00C0434E"/>
    <w:rsid w:val="00C05976"/>
    <w:rsid w:val="00C05B7D"/>
    <w:rsid w:val="00C060DB"/>
    <w:rsid w:val="00C069B8"/>
    <w:rsid w:val="00C070CA"/>
    <w:rsid w:val="00C07466"/>
    <w:rsid w:val="00C10816"/>
    <w:rsid w:val="00C10E68"/>
    <w:rsid w:val="00C12762"/>
    <w:rsid w:val="00C12764"/>
    <w:rsid w:val="00C12865"/>
    <w:rsid w:val="00C12B3F"/>
    <w:rsid w:val="00C12C15"/>
    <w:rsid w:val="00C13527"/>
    <w:rsid w:val="00C13E9F"/>
    <w:rsid w:val="00C14092"/>
    <w:rsid w:val="00C147FC"/>
    <w:rsid w:val="00C15616"/>
    <w:rsid w:val="00C15E2F"/>
    <w:rsid w:val="00C17B0F"/>
    <w:rsid w:val="00C17BEF"/>
    <w:rsid w:val="00C2014C"/>
    <w:rsid w:val="00C20551"/>
    <w:rsid w:val="00C214CB"/>
    <w:rsid w:val="00C218CD"/>
    <w:rsid w:val="00C23614"/>
    <w:rsid w:val="00C23BD8"/>
    <w:rsid w:val="00C23F36"/>
    <w:rsid w:val="00C24557"/>
    <w:rsid w:val="00C266B6"/>
    <w:rsid w:val="00C26E7C"/>
    <w:rsid w:val="00C27C33"/>
    <w:rsid w:val="00C302D8"/>
    <w:rsid w:val="00C30463"/>
    <w:rsid w:val="00C3064C"/>
    <w:rsid w:val="00C30655"/>
    <w:rsid w:val="00C30B7B"/>
    <w:rsid w:val="00C30E72"/>
    <w:rsid w:val="00C312F3"/>
    <w:rsid w:val="00C316C7"/>
    <w:rsid w:val="00C319F5"/>
    <w:rsid w:val="00C326E6"/>
    <w:rsid w:val="00C337FE"/>
    <w:rsid w:val="00C33879"/>
    <w:rsid w:val="00C33FE2"/>
    <w:rsid w:val="00C33FE6"/>
    <w:rsid w:val="00C35137"/>
    <w:rsid w:val="00C3529C"/>
    <w:rsid w:val="00C353E5"/>
    <w:rsid w:val="00C36B1F"/>
    <w:rsid w:val="00C36B94"/>
    <w:rsid w:val="00C3779E"/>
    <w:rsid w:val="00C37A36"/>
    <w:rsid w:val="00C4014C"/>
    <w:rsid w:val="00C409CF"/>
    <w:rsid w:val="00C40ECE"/>
    <w:rsid w:val="00C42981"/>
    <w:rsid w:val="00C42D9F"/>
    <w:rsid w:val="00C42F5E"/>
    <w:rsid w:val="00C431F7"/>
    <w:rsid w:val="00C43601"/>
    <w:rsid w:val="00C43936"/>
    <w:rsid w:val="00C4393C"/>
    <w:rsid w:val="00C43B24"/>
    <w:rsid w:val="00C44031"/>
    <w:rsid w:val="00C44221"/>
    <w:rsid w:val="00C44938"/>
    <w:rsid w:val="00C452C7"/>
    <w:rsid w:val="00C4564F"/>
    <w:rsid w:val="00C463C1"/>
    <w:rsid w:val="00C465AC"/>
    <w:rsid w:val="00C467E9"/>
    <w:rsid w:val="00C50C0A"/>
    <w:rsid w:val="00C51237"/>
    <w:rsid w:val="00C519BE"/>
    <w:rsid w:val="00C525A0"/>
    <w:rsid w:val="00C52AA9"/>
    <w:rsid w:val="00C536DD"/>
    <w:rsid w:val="00C538D3"/>
    <w:rsid w:val="00C54401"/>
    <w:rsid w:val="00C549D6"/>
    <w:rsid w:val="00C54D37"/>
    <w:rsid w:val="00C54F35"/>
    <w:rsid w:val="00C554D8"/>
    <w:rsid w:val="00C55A82"/>
    <w:rsid w:val="00C5774F"/>
    <w:rsid w:val="00C57CE9"/>
    <w:rsid w:val="00C60190"/>
    <w:rsid w:val="00C6035E"/>
    <w:rsid w:val="00C60421"/>
    <w:rsid w:val="00C604A7"/>
    <w:rsid w:val="00C6077E"/>
    <w:rsid w:val="00C60CE8"/>
    <w:rsid w:val="00C612E2"/>
    <w:rsid w:val="00C6147A"/>
    <w:rsid w:val="00C61A8E"/>
    <w:rsid w:val="00C61BB2"/>
    <w:rsid w:val="00C6205A"/>
    <w:rsid w:val="00C62172"/>
    <w:rsid w:val="00C62DA7"/>
    <w:rsid w:val="00C62FA0"/>
    <w:rsid w:val="00C638BB"/>
    <w:rsid w:val="00C64271"/>
    <w:rsid w:val="00C64C71"/>
    <w:rsid w:val="00C65754"/>
    <w:rsid w:val="00C66165"/>
    <w:rsid w:val="00C6643F"/>
    <w:rsid w:val="00C66C05"/>
    <w:rsid w:val="00C67026"/>
    <w:rsid w:val="00C67EB0"/>
    <w:rsid w:val="00C70E3A"/>
    <w:rsid w:val="00C7110D"/>
    <w:rsid w:val="00C71549"/>
    <w:rsid w:val="00C7171D"/>
    <w:rsid w:val="00C7173C"/>
    <w:rsid w:val="00C7358F"/>
    <w:rsid w:val="00C7482F"/>
    <w:rsid w:val="00C749DB"/>
    <w:rsid w:val="00C756ED"/>
    <w:rsid w:val="00C75739"/>
    <w:rsid w:val="00C7682B"/>
    <w:rsid w:val="00C76C71"/>
    <w:rsid w:val="00C76E5B"/>
    <w:rsid w:val="00C771EE"/>
    <w:rsid w:val="00C7750A"/>
    <w:rsid w:val="00C77778"/>
    <w:rsid w:val="00C779D4"/>
    <w:rsid w:val="00C77E59"/>
    <w:rsid w:val="00C80B59"/>
    <w:rsid w:val="00C813C7"/>
    <w:rsid w:val="00C818CC"/>
    <w:rsid w:val="00C81E19"/>
    <w:rsid w:val="00C829EB"/>
    <w:rsid w:val="00C82CF3"/>
    <w:rsid w:val="00C82D1E"/>
    <w:rsid w:val="00C836FB"/>
    <w:rsid w:val="00C839B6"/>
    <w:rsid w:val="00C83FB5"/>
    <w:rsid w:val="00C8418F"/>
    <w:rsid w:val="00C845E5"/>
    <w:rsid w:val="00C84621"/>
    <w:rsid w:val="00C84DFB"/>
    <w:rsid w:val="00C84FD0"/>
    <w:rsid w:val="00C85899"/>
    <w:rsid w:val="00C85C73"/>
    <w:rsid w:val="00C86439"/>
    <w:rsid w:val="00C8726C"/>
    <w:rsid w:val="00C87B76"/>
    <w:rsid w:val="00C90CFA"/>
    <w:rsid w:val="00C91641"/>
    <w:rsid w:val="00C91D44"/>
    <w:rsid w:val="00C92A5D"/>
    <w:rsid w:val="00C92D8D"/>
    <w:rsid w:val="00C93233"/>
    <w:rsid w:val="00C93402"/>
    <w:rsid w:val="00C94EA9"/>
    <w:rsid w:val="00C9510F"/>
    <w:rsid w:val="00C95B20"/>
    <w:rsid w:val="00C95C50"/>
    <w:rsid w:val="00C95E0C"/>
    <w:rsid w:val="00C9676C"/>
    <w:rsid w:val="00C97017"/>
    <w:rsid w:val="00C97091"/>
    <w:rsid w:val="00C97303"/>
    <w:rsid w:val="00CA021F"/>
    <w:rsid w:val="00CA05E7"/>
    <w:rsid w:val="00CA07AB"/>
    <w:rsid w:val="00CA1161"/>
    <w:rsid w:val="00CA20B5"/>
    <w:rsid w:val="00CA25AD"/>
    <w:rsid w:val="00CA33C4"/>
    <w:rsid w:val="00CA3528"/>
    <w:rsid w:val="00CA4682"/>
    <w:rsid w:val="00CA494A"/>
    <w:rsid w:val="00CA4EF7"/>
    <w:rsid w:val="00CA551C"/>
    <w:rsid w:val="00CA7226"/>
    <w:rsid w:val="00CA7286"/>
    <w:rsid w:val="00CB0B0F"/>
    <w:rsid w:val="00CB0D81"/>
    <w:rsid w:val="00CB1FED"/>
    <w:rsid w:val="00CB28FB"/>
    <w:rsid w:val="00CB2EDF"/>
    <w:rsid w:val="00CB2F1D"/>
    <w:rsid w:val="00CB2F8F"/>
    <w:rsid w:val="00CB48D1"/>
    <w:rsid w:val="00CB4DB2"/>
    <w:rsid w:val="00CB514B"/>
    <w:rsid w:val="00CB52A8"/>
    <w:rsid w:val="00CB72C9"/>
    <w:rsid w:val="00CC0396"/>
    <w:rsid w:val="00CC0459"/>
    <w:rsid w:val="00CC107F"/>
    <w:rsid w:val="00CC1969"/>
    <w:rsid w:val="00CC1EA3"/>
    <w:rsid w:val="00CC3E59"/>
    <w:rsid w:val="00CC44B5"/>
    <w:rsid w:val="00CC56D4"/>
    <w:rsid w:val="00CC603E"/>
    <w:rsid w:val="00CC6365"/>
    <w:rsid w:val="00CC674C"/>
    <w:rsid w:val="00CC77CE"/>
    <w:rsid w:val="00CC7AF4"/>
    <w:rsid w:val="00CD0154"/>
    <w:rsid w:val="00CD0363"/>
    <w:rsid w:val="00CD03A4"/>
    <w:rsid w:val="00CD0A7B"/>
    <w:rsid w:val="00CD0D4A"/>
    <w:rsid w:val="00CD0F44"/>
    <w:rsid w:val="00CD11A0"/>
    <w:rsid w:val="00CD1362"/>
    <w:rsid w:val="00CD1E9A"/>
    <w:rsid w:val="00CD2546"/>
    <w:rsid w:val="00CD2561"/>
    <w:rsid w:val="00CD2700"/>
    <w:rsid w:val="00CD27D9"/>
    <w:rsid w:val="00CD4E50"/>
    <w:rsid w:val="00CD54D9"/>
    <w:rsid w:val="00CD620C"/>
    <w:rsid w:val="00CD68ED"/>
    <w:rsid w:val="00CD6BAE"/>
    <w:rsid w:val="00CD750F"/>
    <w:rsid w:val="00CE032C"/>
    <w:rsid w:val="00CE0374"/>
    <w:rsid w:val="00CE08A8"/>
    <w:rsid w:val="00CE0A34"/>
    <w:rsid w:val="00CE0F0D"/>
    <w:rsid w:val="00CE19D8"/>
    <w:rsid w:val="00CE1F80"/>
    <w:rsid w:val="00CE27B1"/>
    <w:rsid w:val="00CE2971"/>
    <w:rsid w:val="00CE323C"/>
    <w:rsid w:val="00CE4444"/>
    <w:rsid w:val="00CE44BB"/>
    <w:rsid w:val="00CE45C7"/>
    <w:rsid w:val="00CE50B3"/>
    <w:rsid w:val="00CE52F2"/>
    <w:rsid w:val="00CE55C0"/>
    <w:rsid w:val="00CE630A"/>
    <w:rsid w:val="00CF0A98"/>
    <w:rsid w:val="00CF129B"/>
    <w:rsid w:val="00CF12AD"/>
    <w:rsid w:val="00CF13FD"/>
    <w:rsid w:val="00CF14B8"/>
    <w:rsid w:val="00CF162B"/>
    <w:rsid w:val="00CF2021"/>
    <w:rsid w:val="00CF2A7F"/>
    <w:rsid w:val="00CF319D"/>
    <w:rsid w:val="00CF32B4"/>
    <w:rsid w:val="00CF334F"/>
    <w:rsid w:val="00CF3EE4"/>
    <w:rsid w:val="00CF4499"/>
    <w:rsid w:val="00CF51B1"/>
    <w:rsid w:val="00CF6195"/>
    <w:rsid w:val="00CF64AF"/>
    <w:rsid w:val="00CF66C9"/>
    <w:rsid w:val="00CF70A2"/>
    <w:rsid w:val="00CF77C0"/>
    <w:rsid w:val="00CF78FF"/>
    <w:rsid w:val="00D00BE7"/>
    <w:rsid w:val="00D01222"/>
    <w:rsid w:val="00D0162D"/>
    <w:rsid w:val="00D0179B"/>
    <w:rsid w:val="00D019C7"/>
    <w:rsid w:val="00D02308"/>
    <w:rsid w:val="00D0253F"/>
    <w:rsid w:val="00D02B06"/>
    <w:rsid w:val="00D02B4B"/>
    <w:rsid w:val="00D02E0F"/>
    <w:rsid w:val="00D033EA"/>
    <w:rsid w:val="00D035D8"/>
    <w:rsid w:val="00D03A54"/>
    <w:rsid w:val="00D03C64"/>
    <w:rsid w:val="00D03FB6"/>
    <w:rsid w:val="00D040EC"/>
    <w:rsid w:val="00D04215"/>
    <w:rsid w:val="00D042B5"/>
    <w:rsid w:val="00D04414"/>
    <w:rsid w:val="00D04F5F"/>
    <w:rsid w:val="00D05217"/>
    <w:rsid w:val="00D053EA"/>
    <w:rsid w:val="00D05B32"/>
    <w:rsid w:val="00D06B04"/>
    <w:rsid w:val="00D06D97"/>
    <w:rsid w:val="00D07AFB"/>
    <w:rsid w:val="00D07D73"/>
    <w:rsid w:val="00D10C21"/>
    <w:rsid w:val="00D10E05"/>
    <w:rsid w:val="00D11043"/>
    <w:rsid w:val="00D11259"/>
    <w:rsid w:val="00D123CF"/>
    <w:rsid w:val="00D12411"/>
    <w:rsid w:val="00D12C49"/>
    <w:rsid w:val="00D12F4E"/>
    <w:rsid w:val="00D1337D"/>
    <w:rsid w:val="00D141B6"/>
    <w:rsid w:val="00D14BFB"/>
    <w:rsid w:val="00D150A3"/>
    <w:rsid w:val="00D1528C"/>
    <w:rsid w:val="00D15807"/>
    <w:rsid w:val="00D1586A"/>
    <w:rsid w:val="00D16CB7"/>
    <w:rsid w:val="00D1702B"/>
    <w:rsid w:val="00D20E21"/>
    <w:rsid w:val="00D20F0C"/>
    <w:rsid w:val="00D21404"/>
    <w:rsid w:val="00D2156E"/>
    <w:rsid w:val="00D21960"/>
    <w:rsid w:val="00D2220B"/>
    <w:rsid w:val="00D22484"/>
    <w:rsid w:val="00D22F30"/>
    <w:rsid w:val="00D2314A"/>
    <w:rsid w:val="00D2383F"/>
    <w:rsid w:val="00D239B8"/>
    <w:rsid w:val="00D23C4B"/>
    <w:rsid w:val="00D23DF1"/>
    <w:rsid w:val="00D24294"/>
    <w:rsid w:val="00D243F7"/>
    <w:rsid w:val="00D25C55"/>
    <w:rsid w:val="00D272C4"/>
    <w:rsid w:val="00D2749B"/>
    <w:rsid w:val="00D27585"/>
    <w:rsid w:val="00D27F4A"/>
    <w:rsid w:val="00D30FE9"/>
    <w:rsid w:val="00D31495"/>
    <w:rsid w:val="00D31A41"/>
    <w:rsid w:val="00D31ECB"/>
    <w:rsid w:val="00D32247"/>
    <w:rsid w:val="00D3239F"/>
    <w:rsid w:val="00D3352B"/>
    <w:rsid w:val="00D335B5"/>
    <w:rsid w:val="00D33FBA"/>
    <w:rsid w:val="00D34538"/>
    <w:rsid w:val="00D34A0F"/>
    <w:rsid w:val="00D34D17"/>
    <w:rsid w:val="00D35090"/>
    <w:rsid w:val="00D350DF"/>
    <w:rsid w:val="00D35594"/>
    <w:rsid w:val="00D35881"/>
    <w:rsid w:val="00D3588F"/>
    <w:rsid w:val="00D35A2D"/>
    <w:rsid w:val="00D36DE3"/>
    <w:rsid w:val="00D37DAC"/>
    <w:rsid w:val="00D4086D"/>
    <w:rsid w:val="00D40D4D"/>
    <w:rsid w:val="00D410A9"/>
    <w:rsid w:val="00D41608"/>
    <w:rsid w:val="00D4211C"/>
    <w:rsid w:val="00D42A6C"/>
    <w:rsid w:val="00D43011"/>
    <w:rsid w:val="00D43057"/>
    <w:rsid w:val="00D43A30"/>
    <w:rsid w:val="00D441D4"/>
    <w:rsid w:val="00D44323"/>
    <w:rsid w:val="00D4587C"/>
    <w:rsid w:val="00D45CEB"/>
    <w:rsid w:val="00D46861"/>
    <w:rsid w:val="00D46C4A"/>
    <w:rsid w:val="00D46E78"/>
    <w:rsid w:val="00D50072"/>
    <w:rsid w:val="00D502F4"/>
    <w:rsid w:val="00D51577"/>
    <w:rsid w:val="00D51A8F"/>
    <w:rsid w:val="00D51AA9"/>
    <w:rsid w:val="00D51ACF"/>
    <w:rsid w:val="00D5204C"/>
    <w:rsid w:val="00D52215"/>
    <w:rsid w:val="00D5272F"/>
    <w:rsid w:val="00D52CD2"/>
    <w:rsid w:val="00D54043"/>
    <w:rsid w:val="00D54210"/>
    <w:rsid w:val="00D548E7"/>
    <w:rsid w:val="00D5549B"/>
    <w:rsid w:val="00D55708"/>
    <w:rsid w:val="00D5634F"/>
    <w:rsid w:val="00D5657C"/>
    <w:rsid w:val="00D57124"/>
    <w:rsid w:val="00D575ED"/>
    <w:rsid w:val="00D57EB2"/>
    <w:rsid w:val="00D6027A"/>
    <w:rsid w:val="00D6161D"/>
    <w:rsid w:val="00D6193D"/>
    <w:rsid w:val="00D61C7E"/>
    <w:rsid w:val="00D61F8F"/>
    <w:rsid w:val="00D623B7"/>
    <w:rsid w:val="00D62BE2"/>
    <w:rsid w:val="00D63094"/>
    <w:rsid w:val="00D639C0"/>
    <w:rsid w:val="00D6443F"/>
    <w:rsid w:val="00D64808"/>
    <w:rsid w:val="00D64959"/>
    <w:rsid w:val="00D655C6"/>
    <w:rsid w:val="00D6596B"/>
    <w:rsid w:val="00D65DCA"/>
    <w:rsid w:val="00D6629D"/>
    <w:rsid w:val="00D6748D"/>
    <w:rsid w:val="00D67A78"/>
    <w:rsid w:val="00D70388"/>
    <w:rsid w:val="00D70932"/>
    <w:rsid w:val="00D71BA4"/>
    <w:rsid w:val="00D71E68"/>
    <w:rsid w:val="00D71FE4"/>
    <w:rsid w:val="00D7283E"/>
    <w:rsid w:val="00D739A0"/>
    <w:rsid w:val="00D74223"/>
    <w:rsid w:val="00D742AD"/>
    <w:rsid w:val="00D74957"/>
    <w:rsid w:val="00D759DE"/>
    <w:rsid w:val="00D75A90"/>
    <w:rsid w:val="00D766ED"/>
    <w:rsid w:val="00D76CBD"/>
    <w:rsid w:val="00D80847"/>
    <w:rsid w:val="00D8096C"/>
    <w:rsid w:val="00D8188A"/>
    <w:rsid w:val="00D819B9"/>
    <w:rsid w:val="00D82D1C"/>
    <w:rsid w:val="00D82E9B"/>
    <w:rsid w:val="00D84463"/>
    <w:rsid w:val="00D84EC0"/>
    <w:rsid w:val="00D860E1"/>
    <w:rsid w:val="00D86822"/>
    <w:rsid w:val="00D8696F"/>
    <w:rsid w:val="00D869F3"/>
    <w:rsid w:val="00D8746F"/>
    <w:rsid w:val="00D87C07"/>
    <w:rsid w:val="00D903C2"/>
    <w:rsid w:val="00D90E66"/>
    <w:rsid w:val="00D912EB"/>
    <w:rsid w:val="00D914FC"/>
    <w:rsid w:val="00D916F3"/>
    <w:rsid w:val="00D9176E"/>
    <w:rsid w:val="00D91A3B"/>
    <w:rsid w:val="00D91C32"/>
    <w:rsid w:val="00D925E4"/>
    <w:rsid w:val="00D928E5"/>
    <w:rsid w:val="00D92BB8"/>
    <w:rsid w:val="00D93395"/>
    <w:rsid w:val="00D942F6"/>
    <w:rsid w:val="00D95178"/>
    <w:rsid w:val="00D95385"/>
    <w:rsid w:val="00D95386"/>
    <w:rsid w:val="00D958B6"/>
    <w:rsid w:val="00D960A0"/>
    <w:rsid w:val="00D97269"/>
    <w:rsid w:val="00D9769C"/>
    <w:rsid w:val="00D977E5"/>
    <w:rsid w:val="00DA0433"/>
    <w:rsid w:val="00DA0925"/>
    <w:rsid w:val="00DA0B3A"/>
    <w:rsid w:val="00DA0EBB"/>
    <w:rsid w:val="00DA160C"/>
    <w:rsid w:val="00DA1AE0"/>
    <w:rsid w:val="00DA1F07"/>
    <w:rsid w:val="00DA2697"/>
    <w:rsid w:val="00DA277E"/>
    <w:rsid w:val="00DA3FD5"/>
    <w:rsid w:val="00DA4A3C"/>
    <w:rsid w:val="00DA4A65"/>
    <w:rsid w:val="00DA4ADD"/>
    <w:rsid w:val="00DA56B4"/>
    <w:rsid w:val="00DA62E9"/>
    <w:rsid w:val="00DA6736"/>
    <w:rsid w:val="00DA6ACD"/>
    <w:rsid w:val="00DA7DA2"/>
    <w:rsid w:val="00DB198A"/>
    <w:rsid w:val="00DB19AC"/>
    <w:rsid w:val="00DB2C84"/>
    <w:rsid w:val="00DB32E7"/>
    <w:rsid w:val="00DB3874"/>
    <w:rsid w:val="00DB3C86"/>
    <w:rsid w:val="00DB3F2C"/>
    <w:rsid w:val="00DB4014"/>
    <w:rsid w:val="00DB401D"/>
    <w:rsid w:val="00DB4427"/>
    <w:rsid w:val="00DB47F3"/>
    <w:rsid w:val="00DB59FB"/>
    <w:rsid w:val="00DB5E86"/>
    <w:rsid w:val="00DB6066"/>
    <w:rsid w:val="00DB60C4"/>
    <w:rsid w:val="00DB63E1"/>
    <w:rsid w:val="00DB642F"/>
    <w:rsid w:val="00DB6AB3"/>
    <w:rsid w:val="00DB7E9D"/>
    <w:rsid w:val="00DC00B6"/>
    <w:rsid w:val="00DC0195"/>
    <w:rsid w:val="00DC0315"/>
    <w:rsid w:val="00DC155A"/>
    <w:rsid w:val="00DC1722"/>
    <w:rsid w:val="00DC1EB8"/>
    <w:rsid w:val="00DC1F32"/>
    <w:rsid w:val="00DC203D"/>
    <w:rsid w:val="00DC2A79"/>
    <w:rsid w:val="00DC30FF"/>
    <w:rsid w:val="00DC3708"/>
    <w:rsid w:val="00DC3815"/>
    <w:rsid w:val="00DC3C37"/>
    <w:rsid w:val="00DC416B"/>
    <w:rsid w:val="00DC42A7"/>
    <w:rsid w:val="00DC4FFA"/>
    <w:rsid w:val="00DC5BC9"/>
    <w:rsid w:val="00DC663E"/>
    <w:rsid w:val="00DC66A9"/>
    <w:rsid w:val="00DC69F0"/>
    <w:rsid w:val="00DC6A3E"/>
    <w:rsid w:val="00DC6E4F"/>
    <w:rsid w:val="00DC6FB7"/>
    <w:rsid w:val="00DC7F27"/>
    <w:rsid w:val="00DD02E5"/>
    <w:rsid w:val="00DD07AE"/>
    <w:rsid w:val="00DD0A4B"/>
    <w:rsid w:val="00DD120F"/>
    <w:rsid w:val="00DD1752"/>
    <w:rsid w:val="00DD240D"/>
    <w:rsid w:val="00DD2C4D"/>
    <w:rsid w:val="00DD2C96"/>
    <w:rsid w:val="00DD2EC4"/>
    <w:rsid w:val="00DD333E"/>
    <w:rsid w:val="00DD33B9"/>
    <w:rsid w:val="00DD37D2"/>
    <w:rsid w:val="00DD3AFC"/>
    <w:rsid w:val="00DD54A9"/>
    <w:rsid w:val="00DD664D"/>
    <w:rsid w:val="00DD6A1F"/>
    <w:rsid w:val="00DD7352"/>
    <w:rsid w:val="00DD7D09"/>
    <w:rsid w:val="00DD7E3F"/>
    <w:rsid w:val="00DE046B"/>
    <w:rsid w:val="00DE0BC0"/>
    <w:rsid w:val="00DE0D74"/>
    <w:rsid w:val="00DE0F10"/>
    <w:rsid w:val="00DE1091"/>
    <w:rsid w:val="00DE36E4"/>
    <w:rsid w:val="00DE3FC4"/>
    <w:rsid w:val="00DE4E84"/>
    <w:rsid w:val="00DE5DA5"/>
    <w:rsid w:val="00DE61D6"/>
    <w:rsid w:val="00DE6974"/>
    <w:rsid w:val="00DE6C24"/>
    <w:rsid w:val="00DF0143"/>
    <w:rsid w:val="00DF0902"/>
    <w:rsid w:val="00DF0C6A"/>
    <w:rsid w:val="00DF1ABA"/>
    <w:rsid w:val="00DF287A"/>
    <w:rsid w:val="00DF3D9F"/>
    <w:rsid w:val="00DF4609"/>
    <w:rsid w:val="00DF586C"/>
    <w:rsid w:val="00DF6169"/>
    <w:rsid w:val="00DF6C6D"/>
    <w:rsid w:val="00DF6E7C"/>
    <w:rsid w:val="00DF7324"/>
    <w:rsid w:val="00DF7DD0"/>
    <w:rsid w:val="00E00621"/>
    <w:rsid w:val="00E00BB7"/>
    <w:rsid w:val="00E00BE3"/>
    <w:rsid w:val="00E015B9"/>
    <w:rsid w:val="00E01867"/>
    <w:rsid w:val="00E02A87"/>
    <w:rsid w:val="00E037B1"/>
    <w:rsid w:val="00E03B36"/>
    <w:rsid w:val="00E03DEA"/>
    <w:rsid w:val="00E04305"/>
    <w:rsid w:val="00E0456D"/>
    <w:rsid w:val="00E054B5"/>
    <w:rsid w:val="00E05615"/>
    <w:rsid w:val="00E06793"/>
    <w:rsid w:val="00E067A6"/>
    <w:rsid w:val="00E107BB"/>
    <w:rsid w:val="00E112B2"/>
    <w:rsid w:val="00E1196F"/>
    <w:rsid w:val="00E11A3F"/>
    <w:rsid w:val="00E11A57"/>
    <w:rsid w:val="00E129C3"/>
    <w:rsid w:val="00E1333F"/>
    <w:rsid w:val="00E13B01"/>
    <w:rsid w:val="00E14532"/>
    <w:rsid w:val="00E147DE"/>
    <w:rsid w:val="00E14B25"/>
    <w:rsid w:val="00E14D81"/>
    <w:rsid w:val="00E14E00"/>
    <w:rsid w:val="00E14ED0"/>
    <w:rsid w:val="00E156FE"/>
    <w:rsid w:val="00E1617D"/>
    <w:rsid w:val="00E172B8"/>
    <w:rsid w:val="00E1760A"/>
    <w:rsid w:val="00E17DD6"/>
    <w:rsid w:val="00E208E6"/>
    <w:rsid w:val="00E20FD6"/>
    <w:rsid w:val="00E21368"/>
    <w:rsid w:val="00E21D81"/>
    <w:rsid w:val="00E22653"/>
    <w:rsid w:val="00E22C15"/>
    <w:rsid w:val="00E2395B"/>
    <w:rsid w:val="00E23AAD"/>
    <w:rsid w:val="00E23E8B"/>
    <w:rsid w:val="00E23F7A"/>
    <w:rsid w:val="00E242B0"/>
    <w:rsid w:val="00E2447F"/>
    <w:rsid w:val="00E249C8"/>
    <w:rsid w:val="00E2538F"/>
    <w:rsid w:val="00E261F8"/>
    <w:rsid w:val="00E264BF"/>
    <w:rsid w:val="00E300EE"/>
    <w:rsid w:val="00E30AEC"/>
    <w:rsid w:val="00E30DD1"/>
    <w:rsid w:val="00E31799"/>
    <w:rsid w:val="00E32433"/>
    <w:rsid w:val="00E32480"/>
    <w:rsid w:val="00E325BB"/>
    <w:rsid w:val="00E32F8E"/>
    <w:rsid w:val="00E33081"/>
    <w:rsid w:val="00E3332C"/>
    <w:rsid w:val="00E3376C"/>
    <w:rsid w:val="00E33B77"/>
    <w:rsid w:val="00E3437A"/>
    <w:rsid w:val="00E34605"/>
    <w:rsid w:val="00E349A0"/>
    <w:rsid w:val="00E349F8"/>
    <w:rsid w:val="00E34A01"/>
    <w:rsid w:val="00E355F3"/>
    <w:rsid w:val="00E35AB3"/>
    <w:rsid w:val="00E35B29"/>
    <w:rsid w:val="00E3666D"/>
    <w:rsid w:val="00E3688D"/>
    <w:rsid w:val="00E36A71"/>
    <w:rsid w:val="00E36A83"/>
    <w:rsid w:val="00E370B0"/>
    <w:rsid w:val="00E371CD"/>
    <w:rsid w:val="00E37D3F"/>
    <w:rsid w:val="00E412CF"/>
    <w:rsid w:val="00E42081"/>
    <w:rsid w:val="00E42D77"/>
    <w:rsid w:val="00E4316F"/>
    <w:rsid w:val="00E43836"/>
    <w:rsid w:val="00E43A09"/>
    <w:rsid w:val="00E43E83"/>
    <w:rsid w:val="00E441C4"/>
    <w:rsid w:val="00E44339"/>
    <w:rsid w:val="00E448E3"/>
    <w:rsid w:val="00E44C92"/>
    <w:rsid w:val="00E44E79"/>
    <w:rsid w:val="00E45FA7"/>
    <w:rsid w:val="00E470FB"/>
    <w:rsid w:val="00E47859"/>
    <w:rsid w:val="00E5048B"/>
    <w:rsid w:val="00E5130D"/>
    <w:rsid w:val="00E5210C"/>
    <w:rsid w:val="00E52F73"/>
    <w:rsid w:val="00E5353C"/>
    <w:rsid w:val="00E54097"/>
    <w:rsid w:val="00E5424C"/>
    <w:rsid w:val="00E543A5"/>
    <w:rsid w:val="00E554C9"/>
    <w:rsid w:val="00E55592"/>
    <w:rsid w:val="00E5567F"/>
    <w:rsid w:val="00E56940"/>
    <w:rsid w:val="00E56A27"/>
    <w:rsid w:val="00E56C89"/>
    <w:rsid w:val="00E57BCC"/>
    <w:rsid w:val="00E60C5F"/>
    <w:rsid w:val="00E622F0"/>
    <w:rsid w:val="00E62F7E"/>
    <w:rsid w:val="00E63303"/>
    <w:rsid w:val="00E64286"/>
    <w:rsid w:val="00E647B3"/>
    <w:rsid w:val="00E65274"/>
    <w:rsid w:val="00E6603A"/>
    <w:rsid w:val="00E67687"/>
    <w:rsid w:val="00E67AC5"/>
    <w:rsid w:val="00E67E33"/>
    <w:rsid w:val="00E70D4C"/>
    <w:rsid w:val="00E70E9F"/>
    <w:rsid w:val="00E7263A"/>
    <w:rsid w:val="00E728AA"/>
    <w:rsid w:val="00E733CA"/>
    <w:rsid w:val="00E73435"/>
    <w:rsid w:val="00E73B50"/>
    <w:rsid w:val="00E7400E"/>
    <w:rsid w:val="00E7415E"/>
    <w:rsid w:val="00E742B4"/>
    <w:rsid w:val="00E7484F"/>
    <w:rsid w:val="00E75CD2"/>
    <w:rsid w:val="00E760FE"/>
    <w:rsid w:val="00E76807"/>
    <w:rsid w:val="00E7753A"/>
    <w:rsid w:val="00E77E33"/>
    <w:rsid w:val="00E826E5"/>
    <w:rsid w:val="00E827A9"/>
    <w:rsid w:val="00E837A6"/>
    <w:rsid w:val="00E83EFB"/>
    <w:rsid w:val="00E8482E"/>
    <w:rsid w:val="00E84E0B"/>
    <w:rsid w:val="00E85359"/>
    <w:rsid w:val="00E87E5B"/>
    <w:rsid w:val="00E90017"/>
    <w:rsid w:val="00E919A2"/>
    <w:rsid w:val="00E9200E"/>
    <w:rsid w:val="00E9520A"/>
    <w:rsid w:val="00E953A2"/>
    <w:rsid w:val="00E959A7"/>
    <w:rsid w:val="00E95A3A"/>
    <w:rsid w:val="00E963BF"/>
    <w:rsid w:val="00EA0A48"/>
    <w:rsid w:val="00EA0FB7"/>
    <w:rsid w:val="00EA1235"/>
    <w:rsid w:val="00EA1A3C"/>
    <w:rsid w:val="00EA1B57"/>
    <w:rsid w:val="00EA1C44"/>
    <w:rsid w:val="00EA21E3"/>
    <w:rsid w:val="00EA23F7"/>
    <w:rsid w:val="00EA2423"/>
    <w:rsid w:val="00EA2887"/>
    <w:rsid w:val="00EA2986"/>
    <w:rsid w:val="00EA2A22"/>
    <w:rsid w:val="00EA31AE"/>
    <w:rsid w:val="00EA3992"/>
    <w:rsid w:val="00EA3A91"/>
    <w:rsid w:val="00EA4415"/>
    <w:rsid w:val="00EA44A0"/>
    <w:rsid w:val="00EA578D"/>
    <w:rsid w:val="00EA69EF"/>
    <w:rsid w:val="00EA6F17"/>
    <w:rsid w:val="00EA7EC1"/>
    <w:rsid w:val="00EB02C9"/>
    <w:rsid w:val="00EB0E65"/>
    <w:rsid w:val="00EB133B"/>
    <w:rsid w:val="00EB1ABC"/>
    <w:rsid w:val="00EB205E"/>
    <w:rsid w:val="00EB2394"/>
    <w:rsid w:val="00EB35DD"/>
    <w:rsid w:val="00EB364E"/>
    <w:rsid w:val="00EB3FAB"/>
    <w:rsid w:val="00EB46A7"/>
    <w:rsid w:val="00EB46CC"/>
    <w:rsid w:val="00EB4FA1"/>
    <w:rsid w:val="00EB53EA"/>
    <w:rsid w:val="00EB59BA"/>
    <w:rsid w:val="00EB5B6F"/>
    <w:rsid w:val="00EB5D80"/>
    <w:rsid w:val="00EB639A"/>
    <w:rsid w:val="00EB644F"/>
    <w:rsid w:val="00EB6ED2"/>
    <w:rsid w:val="00EB70BB"/>
    <w:rsid w:val="00EB7748"/>
    <w:rsid w:val="00EC1474"/>
    <w:rsid w:val="00EC200B"/>
    <w:rsid w:val="00EC253E"/>
    <w:rsid w:val="00EC29CE"/>
    <w:rsid w:val="00EC2E19"/>
    <w:rsid w:val="00EC3007"/>
    <w:rsid w:val="00EC34AB"/>
    <w:rsid w:val="00EC3C67"/>
    <w:rsid w:val="00EC457B"/>
    <w:rsid w:val="00EC4AA2"/>
    <w:rsid w:val="00EC4F72"/>
    <w:rsid w:val="00EC5062"/>
    <w:rsid w:val="00EC5B73"/>
    <w:rsid w:val="00EC5DE1"/>
    <w:rsid w:val="00EC5EBC"/>
    <w:rsid w:val="00EC5F2F"/>
    <w:rsid w:val="00EC5F99"/>
    <w:rsid w:val="00EC6252"/>
    <w:rsid w:val="00EC648E"/>
    <w:rsid w:val="00EC68CD"/>
    <w:rsid w:val="00EC718F"/>
    <w:rsid w:val="00EC7994"/>
    <w:rsid w:val="00EC79C2"/>
    <w:rsid w:val="00ED0196"/>
    <w:rsid w:val="00ED1C43"/>
    <w:rsid w:val="00ED2737"/>
    <w:rsid w:val="00ED2D30"/>
    <w:rsid w:val="00ED2D73"/>
    <w:rsid w:val="00ED2E31"/>
    <w:rsid w:val="00ED303B"/>
    <w:rsid w:val="00ED309C"/>
    <w:rsid w:val="00ED31B9"/>
    <w:rsid w:val="00ED37AD"/>
    <w:rsid w:val="00ED37AF"/>
    <w:rsid w:val="00ED4912"/>
    <w:rsid w:val="00ED4A22"/>
    <w:rsid w:val="00ED52A5"/>
    <w:rsid w:val="00ED5BD8"/>
    <w:rsid w:val="00ED69A7"/>
    <w:rsid w:val="00ED69E4"/>
    <w:rsid w:val="00ED6E4D"/>
    <w:rsid w:val="00ED79F1"/>
    <w:rsid w:val="00ED7D6F"/>
    <w:rsid w:val="00EE034B"/>
    <w:rsid w:val="00EE1A63"/>
    <w:rsid w:val="00EE1CAF"/>
    <w:rsid w:val="00EE2168"/>
    <w:rsid w:val="00EE335B"/>
    <w:rsid w:val="00EE4AAB"/>
    <w:rsid w:val="00EE4E72"/>
    <w:rsid w:val="00EE54A2"/>
    <w:rsid w:val="00EE6219"/>
    <w:rsid w:val="00EE6414"/>
    <w:rsid w:val="00EE689F"/>
    <w:rsid w:val="00EE71CE"/>
    <w:rsid w:val="00EE74B5"/>
    <w:rsid w:val="00EE7572"/>
    <w:rsid w:val="00EE7624"/>
    <w:rsid w:val="00EF123F"/>
    <w:rsid w:val="00EF133F"/>
    <w:rsid w:val="00EF1967"/>
    <w:rsid w:val="00EF32A5"/>
    <w:rsid w:val="00EF3AA0"/>
    <w:rsid w:val="00EF3F1C"/>
    <w:rsid w:val="00EF4D48"/>
    <w:rsid w:val="00EF6A9F"/>
    <w:rsid w:val="00F00CDA"/>
    <w:rsid w:val="00F01D48"/>
    <w:rsid w:val="00F0223D"/>
    <w:rsid w:val="00F023E9"/>
    <w:rsid w:val="00F0321B"/>
    <w:rsid w:val="00F04730"/>
    <w:rsid w:val="00F04A06"/>
    <w:rsid w:val="00F04BDF"/>
    <w:rsid w:val="00F05041"/>
    <w:rsid w:val="00F056E9"/>
    <w:rsid w:val="00F05F7A"/>
    <w:rsid w:val="00F05F9E"/>
    <w:rsid w:val="00F067D3"/>
    <w:rsid w:val="00F06C5D"/>
    <w:rsid w:val="00F06C96"/>
    <w:rsid w:val="00F06E9C"/>
    <w:rsid w:val="00F07482"/>
    <w:rsid w:val="00F078DB"/>
    <w:rsid w:val="00F1078C"/>
    <w:rsid w:val="00F10B8F"/>
    <w:rsid w:val="00F11280"/>
    <w:rsid w:val="00F1246E"/>
    <w:rsid w:val="00F124E0"/>
    <w:rsid w:val="00F1549C"/>
    <w:rsid w:val="00F15D30"/>
    <w:rsid w:val="00F20260"/>
    <w:rsid w:val="00F203CA"/>
    <w:rsid w:val="00F20DA1"/>
    <w:rsid w:val="00F20EDE"/>
    <w:rsid w:val="00F211D2"/>
    <w:rsid w:val="00F22A8B"/>
    <w:rsid w:val="00F22CE1"/>
    <w:rsid w:val="00F23A8A"/>
    <w:rsid w:val="00F23B9A"/>
    <w:rsid w:val="00F24220"/>
    <w:rsid w:val="00F2437B"/>
    <w:rsid w:val="00F253C9"/>
    <w:rsid w:val="00F254F7"/>
    <w:rsid w:val="00F255DE"/>
    <w:rsid w:val="00F25A52"/>
    <w:rsid w:val="00F26450"/>
    <w:rsid w:val="00F26988"/>
    <w:rsid w:val="00F26CE6"/>
    <w:rsid w:val="00F26F09"/>
    <w:rsid w:val="00F2746A"/>
    <w:rsid w:val="00F300DB"/>
    <w:rsid w:val="00F3070B"/>
    <w:rsid w:val="00F30C4F"/>
    <w:rsid w:val="00F31931"/>
    <w:rsid w:val="00F32233"/>
    <w:rsid w:val="00F339CB"/>
    <w:rsid w:val="00F356BD"/>
    <w:rsid w:val="00F36212"/>
    <w:rsid w:val="00F3626C"/>
    <w:rsid w:val="00F3645A"/>
    <w:rsid w:val="00F36749"/>
    <w:rsid w:val="00F3691C"/>
    <w:rsid w:val="00F369EE"/>
    <w:rsid w:val="00F36B43"/>
    <w:rsid w:val="00F36F13"/>
    <w:rsid w:val="00F40024"/>
    <w:rsid w:val="00F415DA"/>
    <w:rsid w:val="00F41A48"/>
    <w:rsid w:val="00F42295"/>
    <w:rsid w:val="00F42569"/>
    <w:rsid w:val="00F43815"/>
    <w:rsid w:val="00F45A06"/>
    <w:rsid w:val="00F45B38"/>
    <w:rsid w:val="00F473A8"/>
    <w:rsid w:val="00F47664"/>
    <w:rsid w:val="00F47950"/>
    <w:rsid w:val="00F50D12"/>
    <w:rsid w:val="00F50E59"/>
    <w:rsid w:val="00F50F76"/>
    <w:rsid w:val="00F52080"/>
    <w:rsid w:val="00F52456"/>
    <w:rsid w:val="00F527FC"/>
    <w:rsid w:val="00F5367C"/>
    <w:rsid w:val="00F5379A"/>
    <w:rsid w:val="00F54129"/>
    <w:rsid w:val="00F543F9"/>
    <w:rsid w:val="00F54678"/>
    <w:rsid w:val="00F553FD"/>
    <w:rsid w:val="00F560D1"/>
    <w:rsid w:val="00F562CB"/>
    <w:rsid w:val="00F564F5"/>
    <w:rsid w:val="00F56BD6"/>
    <w:rsid w:val="00F56DCB"/>
    <w:rsid w:val="00F57499"/>
    <w:rsid w:val="00F57A57"/>
    <w:rsid w:val="00F57BE3"/>
    <w:rsid w:val="00F57EA5"/>
    <w:rsid w:val="00F57FAC"/>
    <w:rsid w:val="00F603C9"/>
    <w:rsid w:val="00F61D2A"/>
    <w:rsid w:val="00F63485"/>
    <w:rsid w:val="00F640B8"/>
    <w:rsid w:val="00F668FB"/>
    <w:rsid w:val="00F67BB7"/>
    <w:rsid w:val="00F7009A"/>
    <w:rsid w:val="00F701FA"/>
    <w:rsid w:val="00F705A0"/>
    <w:rsid w:val="00F70854"/>
    <w:rsid w:val="00F70DF1"/>
    <w:rsid w:val="00F711FE"/>
    <w:rsid w:val="00F717E5"/>
    <w:rsid w:val="00F718C5"/>
    <w:rsid w:val="00F71971"/>
    <w:rsid w:val="00F71BE8"/>
    <w:rsid w:val="00F71EB8"/>
    <w:rsid w:val="00F7279B"/>
    <w:rsid w:val="00F73A4D"/>
    <w:rsid w:val="00F73DCB"/>
    <w:rsid w:val="00F75C0D"/>
    <w:rsid w:val="00F75E55"/>
    <w:rsid w:val="00F75FBD"/>
    <w:rsid w:val="00F76B33"/>
    <w:rsid w:val="00F76CBA"/>
    <w:rsid w:val="00F777CA"/>
    <w:rsid w:val="00F777E8"/>
    <w:rsid w:val="00F8015D"/>
    <w:rsid w:val="00F80702"/>
    <w:rsid w:val="00F80E7A"/>
    <w:rsid w:val="00F810EE"/>
    <w:rsid w:val="00F81894"/>
    <w:rsid w:val="00F826FF"/>
    <w:rsid w:val="00F82931"/>
    <w:rsid w:val="00F83070"/>
    <w:rsid w:val="00F8320D"/>
    <w:rsid w:val="00F83A21"/>
    <w:rsid w:val="00F849B8"/>
    <w:rsid w:val="00F84CC6"/>
    <w:rsid w:val="00F855F2"/>
    <w:rsid w:val="00F85D91"/>
    <w:rsid w:val="00F8605E"/>
    <w:rsid w:val="00F87CBB"/>
    <w:rsid w:val="00F90B5D"/>
    <w:rsid w:val="00F92659"/>
    <w:rsid w:val="00F928C3"/>
    <w:rsid w:val="00F9329D"/>
    <w:rsid w:val="00F93DF0"/>
    <w:rsid w:val="00F94492"/>
    <w:rsid w:val="00F9450F"/>
    <w:rsid w:val="00F9578B"/>
    <w:rsid w:val="00F95FA2"/>
    <w:rsid w:val="00F96219"/>
    <w:rsid w:val="00F96DD9"/>
    <w:rsid w:val="00F974A4"/>
    <w:rsid w:val="00F977DB"/>
    <w:rsid w:val="00FA01A3"/>
    <w:rsid w:val="00FA043C"/>
    <w:rsid w:val="00FA066C"/>
    <w:rsid w:val="00FA0B59"/>
    <w:rsid w:val="00FA15F7"/>
    <w:rsid w:val="00FA171B"/>
    <w:rsid w:val="00FA2008"/>
    <w:rsid w:val="00FA2195"/>
    <w:rsid w:val="00FA2220"/>
    <w:rsid w:val="00FA2498"/>
    <w:rsid w:val="00FA289E"/>
    <w:rsid w:val="00FA2DB2"/>
    <w:rsid w:val="00FA4B4E"/>
    <w:rsid w:val="00FA4D10"/>
    <w:rsid w:val="00FA56B1"/>
    <w:rsid w:val="00FA741E"/>
    <w:rsid w:val="00FA7F00"/>
    <w:rsid w:val="00FB0755"/>
    <w:rsid w:val="00FB0D10"/>
    <w:rsid w:val="00FB1E09"/>
    <w:rsid w:val="00FB2622"/>
    <w:rsid w:val="00FB27EE"/>
    <w:rsid w:val="00FB2E5E"/>
    <w:rsid w:val="00FB318F"/>
    <w:rsid w:val="00FB4815"/>
    <w:rsid w:val="00FB5402"/>
    <w:rsid w:val="00FB5693"/>
    <w:rsid w:val="00FB56BD"/>
    <w:rsid w:val="00FB56D5"/>
    <w:rsid w:val="00FB6975"/>
    <w:rsid w:val="00FB7091"/>
    <w:rsid w:val="00FB7B3B"/>
    <w:rsid w:val="00FC0779"/>
    <w:rsid w:val="00FC1B3B"/>
    <w:rsid w:val="00FC27BE"/>
    <w:rsid w:val="00FC2EFE"/>
    <w:rsid w:val="00FC44DA"/>
    <w:rsid w:val="00FC4504"/>
    <w:rsid w:val="00FC4C5F"/>
    <w:rsid w:val="00FC5921"/>
    <w:rsid w:val="00FC5B80"/>
    <w:rsid w:val="00FC60A3"/>
    <w:rsid w:val="00FC6594"/>
    <w:rsid w:val="00FC681E"/>
    <w:rsid w:val="00FC6AF9"/>
    <w:rsid w:val="00FC6C61"/>
    <w:rsid w:val="00FC6D5B"/>
    <w:rsid w:val="00FC7661"/>
    <w:rsid w:val="00FD097E"/>
    <w:rsid w:val="00FD0BAF"/>
    <w:rsid w:val="00FD1897"/>
    <w:rsid w:val="00FD1C9A"/>
    <w:rsid w:val="00FD218D"/>
    <w:rsid w:val="00FD24DE"/>
    <w:rsid w:val="00FD3162"/>
    <w:rsid w:val="00FD4AA0"/>
    <w:rsid w:val="00FD4CB9"/>
    <w:rsid w:val="00FD5540"/>
    <w:rsid w:val="00FD57E3"/>
    <w:rsid w:val="00FD5A4C"/>
    <w:rsid w:val="00FD5EC5"/>
    <w:rsid w:val="00FD6251"/>
    <w:rsid w:val="00FD6AEB"/>
    <w:rsid w:val="00FD7989"/>
    <w:rsid w:val="00FE05F8"/>
    <w:rsid w:val="00FE0A70"/>
    <w:rsid w:val="00FE0F4D"/>
    <w:rsid w:val="00FE1DD5"/>
    <w:rsid w:val="00FE209C"/>
    <w:rsid w:val="00FE22DE"/>
    <w:rsid w:val="00FE2D15"/>
    <w:rsid w:val="00FE45DD"/>
    <w:rsid w:val="00FE472C"/>
    <w:rsid w:val="00FE4B17"/>
    <w:rsid w:val="00FE4BDB"/>
    <w:rsid w:val="00FE4F41"/>
    <w:rsid w:val="00FE53B4"/>
    <w:rsid w:val="00FE586D"/>
    <w:rsid w:val="00FE69D2"/>
    <w:rsid w:val="00FE76DA"/>
    <w:rsid w:val="00FF0789"/>
    <w:rsid w:val="00FF17F7"/>
    <w:rsid w:val="00FF1945"/>
    <w:rsid w:val="00FF1E96"/>
    <w:rsid w:val="00FF1FD1"/>
    <w:rsid w:val="00FF2EB2"/>
    <w:rsid w:val="00FF367A"/>
    <w:rsid w:val="00FF3833"/>
    <w:rsid w:val="00FF5769"/>
    <w:rsid w:val="00FF578A"/>
    <w:rsid w:val="00FF5808"/>
    <w:rsid w:val="00FF621C"/>
    <w:rsid w:val="00FF69A9"/>
    <w:rsid w:val="00FF7299"/>
    <w:rsid w:val="00FF72BC"/>
    <w:rsid w:val="00FF74AC"/>
    <w:rsid w:val="01067679"/>
    <w:rsid w:val="018132A3"/>
    <w:rsid w:val="018F5482"/>
    <w:rsid w:val="01BD0284"/>
    <w:rsid w:val="01D38CAC"/>
    <w:rsid w:val="0266FD98"/>
    <w:rsid w:val="02A18E71"/>
    <w:rsid w:val="02BDE799"/>
    <w:rsid w:val="0305F086"/>
    <w:rsid w:val="0316F88C"/>
    <w:rsid w:val="03436A29"/>
    <w:rsid w:val="0376A1F8"/>
    <w:rsid w:val="038F5184"/>
    <w:rsid w:val="03F0184E"/>
    <w:rsid w:val="0408CDD9"/>
    <w:rsid w:val="0419E172"/>
    <w:rsid w:val="0477A7E7"/>
    <w:rsid w:val="047A356A"/>
    <w:rsid w:val="04AE42AB"/>
    <w:rsid w:val="04B5ED95"/>
    <w:rsid w:val="050CBC4E"/>
    <w:rsid w:val="0546425C"/>
    <w:rsid w:val="0566003F"/>
    <w:rsid w:val="05AD5FA6"/>
    <w:rsid w:val="05DC2390"/>
    <w:rsid w:val="060909AB"/>
    <w:rsid w:val="062C06FA"/>
    <w:rsid w:val="063D9148"/>
    <w:rsid w:val="067B0AEB"/>
    <w:rsid w:val="068CB39B"/>
    <w:rsid w:val="0692D8C2"/>
    <w:rsid w:val="06F2F3A9"/>
    <w:rsid w:val="06FBAA7D"/>
    <w:rsid w:val="0701D0A0"/>
    <w:rsid w:val="078C55F6"/>
    <w:rsid w:val="079B7EB5"/>
    <w:rsid w:val="079F5735"/>
    <w:rsid w:val="07A20699"/>
    <w:rsid w:val="07D17E52"/>
    <w:rsid w:val="08557F5A"/>
    <w:rsid w:val="088E7791"/>
    <w:rsid w:val="08B01C18"/>
    <w:rsid w:val="0921FF39"/>
    <w:rsid w:val="09609D34"/>
    <w:rsid w:val="0A4D2772"/>
    <w:rsid w:val="0A7A45DC"/>
    <w:rsid w:val="0B46674A"/>
    <w:rsid w:val="0B73F1AC"/>
    <w:rsid w:val="0B868499"/>
    <w:rsid w:val="0BD20565"/>
    <w:rsid w:val="0C79C519"/>
    <w:rsid w:val="0D12FE6B"/>
    <w:rsid w:val="0D42837A"/>
    <w:rsid w:val="0D63460C"/>
    <w:rsid w:val="0DA5A31D"/>
    <w:rsid w:val="0E012D3B"/>
    <w:rsid w:val="0E494481"/>
    <w:rsid w:val="0E806CCB"/>
    <w:rsid w:val="0EECCE2A"/>
    <w:rsid w:val="0F0CFF87"/>
    <w:rsid w:val="0F8562BB"/>
    <w:rsid w:val="0FCADCB9"/>
    <w:rsid w:val="0FCB4B31"/>
    <w:rsid w:val="10D0162A"/>
    <w:rsid w:val="1132395D"/>
    <w:rsid w:val="11348A61"/>
    <w:rsid w:val="117865A1"/>
    <w:rsid w:val="11AAE391"/>
    <w:rsid w:val="12339ED1"/>
    <w:rsid w:val="1234A807"/>
    <w:rsid w:val="12BB19E5"/>
    <w:rsid w:val="12E8BCDF"/>
    <w:rsid w:val="1310E2F6"/>
    <w:rsid w:val="1311B790"/>
    <w:rsid w:val="132D1C56"/>
    <w:rsid w:val="134B4779"/>
    <w:rsid w:val="1376E435"/>
    <w:rsid w:val="1377860F"/>
    <w:rsid w:val="13A7137D"/>
    <w:rsid w:val="13AB9C6C"/>
    <w:rsid w:val="13E65388"/>
    <w:rsid w:val="13F6AD42"/>
    <w:rsid w:val="14EF8347"/>
    <w:rsid w:val="15C18D58"/>
    <w:rsid w:val="160EB856"/>
    <w:rsid w:val="16D0228F"/>
    <w:rsid w:val="16EF42A9"/>
    <w:rsid w:val="173A7A34"/>
    <w:rsid w:val="177AE4A6"/>
    <w:rsid w:val="17840021"/>
    <w:rsid w:val="17AA8A1B"/>
    <w:rsid w:val="17CEEB5D"/>
    <w:rsid w:val="1834F090"/>
    <w:rsid w:val="1893ACFD"/>
    <w:rsid w:val="18D774FC"/>
    <w:rsid w:val="18DFBF06"/>
    <w:rsid w:val="192425A5"/>
    <w:rsid w:val="19644E12"/>
    <w:rsid w:val="19660700"/>
    <w:rsid w:val="19B5A6FA"/>
    <w:rsid w:val="1A165501"/>
    <w:rsid w:val="1A393051"/>
    <w:rsid w:val="1A576778"/>
    <w:rsid w:val="1A6D9C6C"/>
    <w:rsid w:val="1A7DFF07"/>
    <w:rsid w:val="1ACBD408"/>
    <w:rsid w:val="1AF3CEC4"/>
    <w:rsid w:val="1AF454DB"/>
    <w:rsid w:val="1B060B80"/>
    <w:rsid w:val="1B1627D7"/>
    <w:rsid w:val="1B2DEF63"/>
    <w:rsid w:val="1B42CBA4"/>
    <w:rsid w:val="1B44543E"/>
    <w:rsid w:val="1B8D51D4"/>
    <w:rsid w:val="1BA76BB8"/>
    <w:rsid w:val="1BE24A12"/>
    <w:rsid w:val="1BF44F32"/>
    <w:rsid w:val="1C3A5FA7"/>
    <w:rsid w:val="1C4132AC"/>
    <w:rsid w:val="1C52C600"/>
    <w:rsid w:val="1C549A2D"/>
    <w:rsid w:val="1CB7232C"/>
    <w:rsid w:val="1CF8F08C"/>
    <w:rsid w:val="1D0675BF"/>
    <w:rsid w:val="1D1C7B0F"/>
    <w:rsid w:val="1D4EA8AF"/>
    <w:rsid w:val="1DE7A787"/>
    <w:rsid w:val="1E13B22F"/>
    <w:rsid w:val="1E4A7A22"/>
    <w:rsid w:val="1E5E9426"/>
    <w:rsid w:val="1E8A143C"/>
    <w:rsid w:val="1E96617D"/>
    <w:rsid w:val="1EEA6834"/>
    <w:rsid w:val="1EEC55DA"/>
    <w:rsid w:val="1F38C800"/>
    <w:rsid w:val="1FF1545B"/>
    <w:rsid w:val="1FF9B328"/>
    <w:rsid w:val="1FFF4113"/>
    <w:rsid w:val="20935B8C"/>
    <w:rsid w:val="20E70ED5"/>
    <w:rsid w:val="21085FFF"/>
    <w:rsid w:val="21998238"/>
    <w:rsid w:val="21D21354"/>
    <w:rsid w:val="2257D9F2"/>
    <w:rsid w:val="232664B0"/>
    <w:rsid w:val="233ECFA3"/>
    <w:rsid w:val="2425C83C"/>
    <w:rsid w:val="2455AF1D"/>
    <w:rsid w:val="2489CCC1"/>
    <w:rsid w:val="24A966C3"/>
    <w:rsid w:val="25189687"/>
    <w:rsid w:val="25462EA2"/>
    <w:rsid w:val="25B9AB17"/>
    <w:rsid w:val="25D342B3"/>
    <w:rsid w:val="25F7C975"/>
    <w:rsid w:val="261D9772"/>
    <w:rsid w:val="2636EF67"/>
    <w:rsid w:val="263B7995"/>
    <w:rsid w:val="2657EABF"/>
    <w:rsid w:val="26646BF4"/>
    <w:rsid w:val="267C95C2"/>
    <w:rsid w:val="26E16DB8"/>
    <w:rsid w:val="26E1FF03"/>
    <w:rsid w:val="26E67C5F"/>
    <w:rsid w:val="272EE27D"/>
    <w:rsid w:val="274440A1"/>
    <w:rsid w:val="279395C5"/>
    <w:rsid w:val="279D55B1"/>
    <w:rsid w:val="27AE5414"/>
    <w:rsid w:val="27E3549F"/>
    <w:rsid w:val="28023A0C"/>
    <w:rsid w:val="2818FD98"/>
    <w:rsid w:val="283D43C3"/>
    <w:rsid w:val="2860FBBE"/>
    <w:rsid w:val="2862B961"/>
    <w:rsid w:val="288EF6A0"/>
    <w:rsid w:val="28910279"/>
    <w:rsid w:val="28BFD0FB"/>
    <w:rsid w:val="28E01102"/>
    <w:rsid w:val="28EE55F4"/>
    <w:rsid w:val="29179658"/>
    <w:rsid w:val="29392612"/>
    <w:rsid w:val="29B1EA2C"/>
    <w:rsid w:val="29B84693"/>
    <w:rsid w:val="29C5A3A6"/>
    <w:rsid w:val="29DBFDE9"/>
    <w:rsid w:val="29E22507"/>
    <w:rsid w:val="2A14CCBB"/>
    <w:rsid w:val="2A8EC7DA"/>
    <w:rsid w:val="2A9C5544"/>
    <w:rsid w:val="2AAAFDA3"/>
    <w:rsid w:val="2AD8DC57"/>
    <w:rsid w:val="2AE92C4C"/>
    <w:rsid w:val="2B3A7ECB"/>
    <w:rsid w:val="2B3A9E29"/>
    <w:rsid w:val="2B42172B"/>
    <w:rsid w:val="2BFFE3A5"/>
    <w:rsid w:val="2C42B95C"/>
    <w:rsid w:val="2C74ACB8"/>
    <w:rsid w:val="2C8CD8F6"/>
    <w:rsid w:val="2CBCC93E"/>
    <w:rsid w:val="2D80C195"/>
    <w:rsid w:val="2D95131E"/>
    <w:rsid w:val="2DCB06AF"/>
    <w:rsid w:val="2DD05FF7"/>
    <w:rsid w:val="2DFD1FAD"/>
    <w:rsid w:val="2E0C9735"/>
    <w:rsid w:val="2E1DA036"/>
    <w:rsid w:val="2E6858A1"/>
    <w:rsid w:val="2E688B72"/>
    <w:rsid w:val="2E7DF42E"/>
    <w:rsid w:val="2EA4EBD4"/>
    <w:rsid w:val="2EC79222"/>
    <w:rsid w:val="2EED0040"/>
    <w:rsid w:val="2F3FD957"/>
    <w:rsid w:val="2FAA58E6"/>
    <w:rsid w:val="2FBB68D5"/>
    <w:rsid w:val="30108851"/>
    <w:rsid w:val="30CEA186"/>
    <w:rsid w:val="30E0BC5C"/>
    <w:rsid w:val="30EA2BC9"/>
    <w:rsid w:val="3115A6DE"/>
    <w:rsid w:val="3130C779"/>
    <w:rsid w:val="314D48DA"/>
    <w:rsid w:val="31DFEC91"/>
    <w:rsid w:val="326C3C66"/>
    <w:rsid w:val="32B65942"/>
    <w:rsid w:val="32BDF7D7"/>
    <w:rsid w:val="32E24050"/>
    <w:rsid w:val="331A6CDB"/>
    <w:rsid w:val="3354258C"/>
    <w:rsid w:val="3360B9F8"/>
    <w:rsid w:val="33A0C6C8"/>
    <w:rsid w:val="343CC0E7"/>
    <w:rsid w:val="34B78AA1"/>
    <w:rsid w:val="34D25BB4"/>
    <w:rsid w:val="34EDA39F"/>
    <w:rsid w:val="3514A38E"/>
    <w:rsid w:val="35303CFB"/>
    <w:rsid w:val="35376B6C"/>
    <w:rsid w:val="353DA000"/>
    <w:rsid w:val="3562805C"/>
    <w:rsid w:val="3580CBEB"/>
    <w:rsid w:val="359EC4C3"/>
    <w:rsid w:val="35AD8C04"/>
    <w:rsid w:val="35D7BC67"/>
    <w:rsid w:val="35EC0C5E"/>
    <w:rsid w:val="363FFDE5"/>
    <w:rsid w:val="366AC229"/>
    <w:rsid w:val="36B00FCE"/>
    <w:rsid w:val="36DFBA58"/>
    <w:rsid w:val="37028268"/>
    <w:rsid w:val="371C9C4C"/>
    <w:rsid w:val="37B58FEF"/>
    <w:rsid w:val="37C76C41"/>
    <w:rsid w:val="37E59669"/>
    <w:rsid w:val="37ECE1DF"/>
    <w:rsid w:val="37F80BC3"/>
    <w:rsid w:val="37FF18D5"/>
    <w:rsid w:val="380CBAAA"/>
    <w:rsid w:val="384E31F6"/>
    <w:rsid w:val="384E43BE"/>
    <w:rsid w:val="38506147"/>
    <w:rsid w:val="3870BDCF"/>
    <w:rsid w:val="3882C2EF"/>
    <w:rsid w:val="388E737C"/>
    <w:rsid w:val="38B86CAD"/>
    <w:rsid w:val="38C22B92"/>
    <w:rsid w:val="38E7D2A7"/>
    <w:rsid w:val="390E4464"/>
    <w:rsid w:val="39119D68"/>
    <w:rsid w:val="394922BE"/>
    <w:rsid w:val="39730B20"/>
    <w:rsid w:val="398166CA"/>
    <w:rsid w:val="3989F606"/>
    <w:rsid w:val="39A62FC0"/>
    <w:rsid w:val="3A1C9B12"/>
    <w:rsid w:val="3A1F6210"/>
    <w:rsid w:val="3A5EE08D"/>
    <w:rsid w:val="3A80FD27"/>
    <w:rsid w:val="3A866494"/>
    <w:rsid w:val="3B3CFE0E"/>
    <w:rsid w:val="3B85C820"/>
    <w:rsid w:val="3BBED675"/>
    <w:rsid w:val="3C0B4351"/>
    <w:rsid w:val="3C74FA77"/>
    <w:rsid w:val="3C7F6340"/>
    <w:rsid w:val="3C91CC81"/>
    <w:rsid w:val="3CDDD082"/>
    <w:rsid w:val="3CE226A0"/>
    <w:rsid w:val="3CFE3E1D"/>
    <w:rsid w:val="3D159DD9"/>
    <w:rsid w:val="3D16723B"/>
    <w:rsid w:val="3D4CA022"/>
    <w:rsid w:val="3DEC31C8"/>
    <w:rsid w:val="3DF49700"/>
    <w:rsid w:val="3E383548"/>
    <w:rsid w:val="3E5C2363"/>
    <w:rsid w:val="3E67E2D8"/>
    <w:rsid w:val="3E6A5E7E"/>
    <w:rsid w:val="3E6E004A"/>
    <w:rsid w:val="3E7AD2A6"/>
    <w:rsid w:val="3EEF5884"/>
    <w:rsid w:val="3EFD066A"/>
    <w:rsid w:val="3F5F8926"/>
    <w:rsid w:val="3F7E2956"/>
    <w:rsid w:val="3FA93E4F"/>
    <w:rsid w:val="4029C13B"/>
    <w:rsid w:val="407EB979"/>
    <w:rsid w:val="40AB62F7"/>
    <w:rsid w:val="40D77B1A"/>
    <w:rsid w:val="40F03EAB"/>
    <w:rsid w:val="41250FC8"/>
    <w:rsid w:val="412864BB"/>
    <w:rsid w:val="4180C2E6"/>
    <w:rsid w:val="423C8F52"/>
    <w:rsid w:val="42803BA2"/>
    <w:rsid w:val="4290B7C3"/>
    <w:rsid w:val="42920DF1"/>
    <w:rsid w:val="429CEFD4"/>
    <w:rsid w:val="42BEC1BD"/>
    <w:rsid w:val="42C5D14C"/>
    <w:rsid w:val="42D46A92"/>
    <w:rsid w:val="42DB8335"/>
    <w:rsid w:val="43055890"/>
    <w:rsid w:val="434BF941"/>
    <w:rsid w:val="43BB5DFC"/>
    <w:rsid w:val="43C659F8"/>
    <w:rsid w:val="43EA0215"/>
    <w:rsid w:val="44115259"/>
    <w:rsid w:val="4413692C"/>
    <w:rsid w:val="442DDD55"/>
    <w:rsid w:val="4448AE68"/>
    <w:rsid w:val="44703AF3"/>
    <w:rsid w:val="44CC06F7"/>
    <w:rsid w:val="44E7C9A2"/>
    <w:rsid w:val="450D9456"/>
    <w:rsid w:val="4522A7FC"/>
    <w:rsid w:val="45920CB7"/>
    <w:rsid w:val="45F1FFF1"/>
    <w:rsid w:val="45F71C6F"/>
    <w:rsid w:val="45F914AD"/>
    <w:rsid w:val="466F14B7"/>
    <w:rsid w:val="468EEB25"/>
    <w:rsid w:val="46E389DA"/>
    <w:rsid w:val="471D565F"/>
    <w:rsid w:val="472F7135"/>
    <w:rsid w:val="479DE73A"/>
    <w:rsid w:val="48039CC7"/>
    <w:rsid w:val="483754DD"/>
    <w:rsid w:val="484A5870"/>
    <w:rsid w:val="48EF7D26"/>
    <w:rsid w:val="4914461C"/>
    <w:rsid w:val="4941BE70"/>
    <w:rsid w:val="49B5090F"/>
    <w:rsid w:val="49B6746D"/>
    <w:rsid w:val="49BB1C43"/>
    <w:rsid w:val="49FCFDCC"/>
    <w:rsid w:val="4A5A2220"/>
    <w:rsid w:val="4A740D14"/>
    <w:rsid w:val="4AA6097B"/>
    <w:rsid w:val="4AF3CCF4"/>
    <w:rsid w:val="4B04F215"/>
    <w:rsid w:val="4B0E7CCF"/>
    <w:rsid w:val="4B6428C5"/>
    <w:rsid w:val="4B71BB87"/>
    <w:rsid w:val="4B9CC0CB"/>
    <w:rsid w:val="4BA98D93"/>
    <w:rsid w:val="4BB94CC4"/>
    <w:rsid w:val="4BEED9DC"/>
    <w:rsid w:val="4C1533DC"/>
    <w:rsid w:val="4CFEC4A7"/>
    <w:rsid w:val="4CFFCC2D"/>
    <w:rsid w:val="4D3F5884"/>
    <w:rsid w:val="4D448E06"/>
    <w:rsid w:val="4D5324E7"/>
    <w:rsid w:val="4D600876"/>
    <w:rsid w:val="4DD99DE6"/>
    <w:rsid w:val="4E788051"/>
    <w:rsid w:val="4EBF72A8"/>
    <w:rsid w:val="4EC16AE6"/>
    <w:rsid w:val="4EDD0389"/>
    <w:rsid w:val="4F159271"/>
    <w:rsid w:val="4F1B66E5"/>
    <w:rsid w:val="4F3F2697"/>
    <w:rsid w:val="4F86C3FE"/>
    <w:rsid w:val="4FFDD8D6"/>
    <w:rsid w:val="5016C2CF"/>
    <w:rsid w:val="505D3B47"/>
    <w:rsid w:val="5080B8A7"/>
    <w:rsid w:val="50D46401"/>
    <w:rsid w:val="5147B074"/>
    <w:rsid w:val="5162D0DE"/>
    <w:rsid w:val="517149D4"/>
    <w:rsid w:val="517D4B78"/>
    <w:rsid w:val="51817CF9"/>
    <w:rsid w:val="5188A036"/>
    <w:rsid w:val="5233EB08"/>
    <w:rsid w:val="5244C788"/>
    <w:rsid w:val="52C587FD"/>
    <w:rsid w:val="53299B96"/>
    <w:rsid w:val="5346B46F"/>
    <w:rsid w:val="53EED808"/>
    <w:rsid w:val="5421A330"/>
    <w:rsid w:val="546051A0"/>
    <w:rsid w:val="5495E74B"/>
    <w:rsid w:val="54B0D27F"/>
    <w:rsid w:val="550CCA63"/>
    <w:rsid w:val="553EC10E"/>
    <w:rsid w:val="5541B56B"/>
    <w:rsid w:val="555FE465"/>
    <w:rsid w:val="556436AC"/>
    <w:rsid w:val="558ACFA7"/>
    <w:rsid w:val="559427DA"/>
    <w:rsid w:val="55B01E07"/>
    <w:rsid w:val="55CFA280"/>
    <w:rsid w:val="560AF2F0"/>
    <w:rsid w:val="562913F7"/>
    <w:rsid w:val="56530076"/>
    <w:rsid w:val="5656771B"/>
    <w:rsid w:val="5685B7C7"/>
    <w:rsid w:val="56959A80"/>
    <w:rsid w:val="56A80E41"/>
    <w:rsid w:val="571703E6"/>
    <w:rsid w:val="57424C88"/>
    <w:rsid w:val="5786FF2C"/>
    <w:rsid w:val="58C75F3B"/>
    <w:rsid w:val="58F11313"/>
    <w:rsid w:val="59993A0C"/>
    <w:rsid w:val="59AE1E98"/>
    <w:rsid w:val="59B016D6"/>
    <w:rsid w:val="59F7E65F"/>
    <w:rsid w:val="59F909D4"/>
    <w:rsid w:val="5A6011CA"/>
    <w:rsid w:val="5AAD11EA"/>
    <w:rsid w:val="5AE5F7EC"/>
    <w:rsid w:val="5B0A54DF"/>
    <w:rsid w:val="5B2706B0"/>
    <w:rsid w:val="5B78E03E"/>
    <w:rsid w:val="5B958E53"/>
    <w:rsid w:val="5B9B7A4E"/>
    <w:rsid w:val="5BE3884D"/>
    <w:rsid w:val="5C2253E8"/>
    <w:rsid w:val="5C2F8D12"/>
    <w:rsid w:val="5C620AA8"/>
    <w:rsid w:val="5C644AE7"/>
    <w:rsid w:val="5CF9B220"/>
    <w:rsid w:val="5D34B7B8"/>
    <w:rsid w:val="5D7C601B"/>
    <w:rsid w:val="5D9AC762"/>
    <w:rsid w:val="5DD2864E"/>
    <w:rsid w:val="5DD3826D"/>
    <w:rsid w:val="5DF316A9"/>
    <w:rsid w:val="5EF6D298"/>
    <w:rsid w:val="5EFC5C43"/>
    <w:rsid w:val="5F02415B"/>
    <w:rsid w:val="5F42B9F3"/>
    <w:rsid w:val="5F63A79D"/>
    <w:rsid w:val="5F7F6A48"/>
    <w:rsid w:val="60D044D5"/>
    <w:rsid w:val="60EAA54D"/>
    <w:rsid w:val="61237CAD"/>
    <w:rsid w:val="61570A8A"/>
    <w:rsid w:val="61690FAA"/>
    <w:rsid w:val="61E18FE0"/>
    <w:rsid w:val="622A8D76"/>
    <w:rsid w:val="627A5AB5"/>
    <w:rsid w:val="62994DC0"/>
    <w:rsid w:val="62AF73BD"/>
    <w:rsid w:val="62B470BC"/>
    <w:rsid w:val="62C1600D"/>
    <w:rsid w:val="63027C71"/>
    <w:rsid w:val="630E0D61"/>
    <w:rsid w:val="634BE563"/>
    <w:rsid w:val="639CC2F6"/>
    <w:rsid w:val="64995EB0"/>
    <w:rsid w:val="64AB54E6"/>
    <w:rsid w:val="64C43864"/>
    <w:rsid w:val="64C6260A"/>
    <w:rsid w:val="64D3DD74"/>
    <w:rsid w:val="64E0B9C5"/>
    <w:rsid w:val="65AEAD91"/>
    <w:rsid w:val="66030DD1"/>
    <w:rsid w:val="661F728C"/>
    <w:rsid w:val="66472547"/>
    <w:rsid w:val="66867A82"/>
    <w:rsid w:val="66ADDDC6"/>
    <w:rsid w:val="66DB2269"/>
    <w:rsid w:val="66E0544F"/>
    <w:rsid w:val="66E959D9"/>
    <w:rsid w:val="66EB7FA2"/>
    <w:rsid w:val="676F5B92"/>
    <w:rsid w:val="677DF183"/>
    <w:rsid w:val="67D1E995"/>
    <w:rsid w:val="67E2F5A8"/>
    <w:rsid w:val="67F1C18C"/>
    <w:rsid w:val="67F45596"/>
    <w:rsid w:val="689CB8BF"/>
    <w:rsid w:val="68EE7630"/>
    <w:rsid w:val="69376D84"/>
    <w:rsid w:val="695ED62C"/>
    <w:rsid w:val="6A28B8F8"/>
    <w:rsid w:val="6A29465F"/>
    <w:rsid w:val="6A41AE32"/>
    <w:rsid w:val="6AABA4A0"/>
    <w:rsid w:val="6AB46CB5"/>
    <w:rsid w:val="6AB70936"/>
    <w:rsid w:val="6AB9FD93"/>
    <w:rsid w:val="6AD057D6"/>
    <w:rsid w:val="6AD3434F"/>
    <w:rsid w:val="6B69F887"/>
    <w:rsid w:val="6B6F3F31"/>
    <w:rsid w:val="6BB99662"/>
    <w:rsid w:val="6BC287C0"/>
    <w:rsid w:val="6C55CDF4"/>
    <w:rsid w:val="6C650F53"/>
    <w:rsid w:val="6C7B4392"/>
    <w:rsid w:val="6CB71373"/>
    <w:rsid w:val="6CD03BD0"/>
    <w:rsid w:val="6D5D28A3"/>
    <w:rsid w:val="6D70803D"/>
    <w:rsid w:val="6DBF1039"/>
    <w:rsid w:val="6DD9DD75"/>
    <w:rsid w:val="6DE6BCF8"/>
    <w:rsid w:val="6DE8D43A"/>
    <w:rsid w:val="6E29087F"/>
    <w:rsid w:val="6E2FBFEC"/>
    <w:rsid w:val="6E346D04"/>
    <w:rsid w:val="6E390ECF"/>
    <w:rsid w:val="6F120F36"/>
    <w:rsid w:val="6F3E6FCA"/>
    <w:rsid w:val="6F79CB67"/>
    <w:rsid w:val="6F8ADCF2"/>
    <w:rsid w:val="6F8E603D"/>
    <w:rsid w:val="6F913DF8"/>
    <w:rsid w:val="6FDA4798"/>
    <w:rsid w:val="706435AA"/>
    <w:rsid w:val="71120460"/>
    <w:rsid w:val="71650460"/>
    <w:rsid w:val="719A9C10"/>
    <w:rsid w:val="71C8B0C5"/>
    <w:rsid w:val="721495A4"/>
    <w:rsid w:val="721B09CC"/>
    <w:rsid w:val="72242547"/>
    <w:rsid w:val="72489EC6"/>
    <w:rsid w:val="726E1464"/>
    <w:rsid w:val="72B9FBBF"/>
    <w:rsid w:val="72E05EBA"/>
    <w:rsid w:val="72FB8E17"/>
    <w:rsid w:val="7300D4C1"/>
    <w:rsid w:val="732654F7"/>
    <w:rsid w:val="732C7C15"/>
    <w:rsid w:val="73350C31"/>
    <w:rsid w:val="73E758EC"/>
    <w:rsid w:val="744D3C8A"/>
    <w:rsid w:val="7490AA7A"/>
    <w:rsid w:val="7490DD43"/>
    <w:rsid w:val="74EA01AA"/>
    <w:rsid w:val="751B2FD0"/>
    <w:rsid w:val="754CA941"/>
    <w:rsid w:val="75989209"/>
    <w:rsid w:val="75E99B42"/>
    <w:rsid w:val="75F0E763"/>
    <w:rsid w:val="761E360A"/>
    <w:rsid w:val="762621E7"/>
    <w:rsid w:val="76B70031"/>
    <w:rsid w:val="76B9F48E"/>
    <w:rsid w:val="77034546"/>
    <w:rsid w:val="770A7C77"/>
    <w:rsid w:val="772B0E28"/>
    <w:rsid w:val="77C33DDE"/>
    <w:rsid w:val="77C414A4"/>
    <w:rsid w:val="7803ABDE"/>
    <w:rsid w:val="780A72AB"/>
    <w:rsid w:val="78405C33"/>
    <w:rsid w:val="787C5352"/>
    <w:rsid w:val="78957BAF"/>
    <w:rsid w:val="78E03FAD"/>
    <w:rsid w:val="78E0A72F"/>
    <w:rsid w:val="792D0878"/>
    <w:rsid w:val="793ED414"/>
    <w:rsid w:val="796475AC"/>
    <w:rsid w:val="796D1A70"/>
    <w:rsid w:val="7974ECA2"/>
    <w:rsid w:val="7A1470A0"/>
    <w:rsid w:val="7A1FE8C6"/>
    <w:rsid w:val="7B7A1CDE"/>
    <w:rsid w:val="7B82E1EF"/>
    <w:rsid w:val="7B883DC2"/>
    <w:rsid w:val="7BB0749D"/>
    <w:rsid w:val="7BBEC1F3"/>
    <w:rsid w:val="7C649EDA"/>
    <w:rsid w:val="7C64C3E9"/>
    <w:rsid w:val="7CA33CB2"/>
    <w:rsid w:val="7CCD8730"/>
    <w:rsid w:val="7CD2FDD2"/>
    <w:rsid w:val="7CE7DC00"/>
    <w:rsid w:val="7D3942F4"/>
    <w:rsid w:val="7D90A2AF"/>
    <w:rsid w:val="7D9A930B"/>
    <w:rsid w:val="7DFF982B"/>
    <w:rsid w:val="7E397A66"/>
    <w:rsid w:val="7E3A7685"/>
    <w:rsid w:val="7E60E842"/>
    <w:rsid w:val="7E70FFBC"/>
    <w:rsid w:val="7E9380FD"/>
    <w:rsid w:val="7E9F1768"/>
    <w:rsid w:val="7EC2A581"/>
    <w:rsid w:val="7EE7E1C3"/>
    <w:rsid w:val="7F1AD477"/>
    <w:rsid w:val="7F1D570E"/>
    <w:rsid w:val="7F3365E1"/>
    <w:rsid w:val="7F5CC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01A"/>
  <w15:chartTrackingRefBased/>
  <w15:docId w15:val="{79756586-FCA8-49C7-9150-D4DD013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AC"/>
    <w:pPr>
      <w:spacing w:line="240" w:lineRule="auto"/>
    </w:pPr>
    <w:rPr>
      <w:lang w:bidi="en-US"/>
    </w:rPr>
  </w:style>
  <w:style w:type="paragraph" w:styleId="Heading1">
    <w:name w:val="heading 1"/>
    <w:basedOn w:val="body"/>
    <w:next w:val="Normal"/>
    <w:link w:val="Heading1Char"/>
    <w:uiPriority w:val="9"/>
    <w:qFormat/>
    <w:rsid w:val="00582A7E"/>
    <w:pPr>
      <w:keepNext/>
      <w:numPr>
        <w:numId w:val="2"/>
      </w:numPr>
      <w:spacing w:line="240" w:lineRule="auto"/>
      <w:outlineLvl w:val="0"/>
    </w:pPr>
    <w:rPr>
      <w:rFonts w:ascii="Times New Roman" w:hAnsi="Times New Roman" w:cs="Times New Roman"/>
      <w:b/>
      <w:color w:val="000000" w:themeColor="text1"/>
      <w:sz w:val="22"/>
      <w:szCs w:val="22"/>
      <w:u w:val="single"/>
      <w:lang w:bidi="ar-SA"/>
    </w:rPr>
  </w:style>
  <w:style w:type="paragraph" w:styleId="Heading2">
    <w:name w:val="heading 2"/>
    <w:basedOn w:val="Normal"/>
    <w:next w:val="Normal"/>
    <w:link w:val="Heading2Char"/>
    <w:uiPriority w:val="9"/>
    <w:unhideWhenUsed/>
    <w:qFormat/>
    <w:rsid w:val="00AB6385"/>
    <w:pPr>
      <w:keepNext/>
      <w:numPr>
        <w:numId w:val="5"/>
      </w:numPr>
      <w:outlineLvl w:val="1"/>
    </w:pPr>
    <w:rPr>
      <w:b/>
      <w:bCs/>
      <w:i/>
      <w:iCs/>
    </w:rPr>
  </w:style>
  <w:style w:type="paragraph" w:styleId="Heading3">
    <w:name w:val="heading 3"/>
    <w:basedOn w:val="Normal"/>
    <w:next w:val="Normal"/>
    <w:link w:val="Heading3Char"/>
    <w:uiPriority w:val="9"/>
    <w:semiHidden/>
    <w:unhideWhenUsed/>
    <w:qFormat/>
    <w:rsid w:val="002C689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C689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C689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C689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C689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C689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C689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7E"/>
    <w:rPr>
      <w:rFonts w:ascii="Times New Roman" w:eastAsia="Roboto" w:hAnsi="Times New Roman" w:cs="Times New Roman"/>
      <w:b/>
      <w:color w:val="000000" w:themeColor="text1"/>
      <w:u w:val="single"/>
    </w:rPr>
  </w:style>
  <w:style w:type="character" w:customStyle="1" w:styleId="Heading2Char">
    <w:name w:val="Heading 2 Char"/>
    <w:basedOn w:val="DefaultParagraphFont"/>
    <w:link w:val="Heading2"/>
    <w:uiPriority w:val="9"/>
    <w:rsid w:val="00AB6385"/>
    <w:rPr>
      <w:b/>
      <w:bCs/>
      <w:i/>
      <w:iCs/>
      <w:lang w:bidi="en-US"/>
    </w:rPr>
  </w:style>
  <w:style w:type="character" w:customStyle="1" w:styleId="Heading3Char">
    <w:name w:val="Heading 3 Char"/>
    <w:basedOn w:val="DefaultParagraphFont"/>
    <w:link w:val="Heading3"/>
    <w:uiPriority w:val="9"/>
    <w:semiHidden/>
    <w:rsid w:val="002C6891"/>
    <w:rPr>
      <w:i/>
      <w:iCs/>
      <w:smallCaps/>
      <w:spacing w:val="5"/>
      <w:sz w:val="26"/>
      <w:szCs w:val="26"/>
    </w:rPr>
  </w:style>
  <w:style w:type="character" w:customStyle="1" w:styleId="Heading4Char">
    <w:name w:val="Heading 4 Char"/>
    <w:basedOn w:val="DefaultParagraphFont"/>
    <w:link w:val="Heading4"/>
    <w:uiPriority w:val="9"/>
    <w:semiHidden/>
    <w:rsid w:val="002C6891"/>
    <w:rPr>
      <w:b/>
      <w:bCs/>
      <w:spacing w:val="5"/>
      <w:sz w:val="24"/>
      <w:szCs w:val="24"/>
    </w:rPr>
  </w:style>
  <w:style w:type="character" w:customStyle="1" w:styleId="Heading5Char">
    <w:name w:val="Heading 5 Char"/>
    <w:basedOn w:val="DefaultParagraphFont"/>
    <w:link w:val="Heading5"/>
    <w:uiPriority w:val="9"/>
    <w:semiHidden/>
    <w:rsid w:val="002C6891"/>
    <w:rPr>
      <w:i/>
      <w:iCs/>
      <w:sz w:val="24"/>
      <w:szCs w:val="24"/>
    </w:rPr>
  </w:style>
  <w:style w:type="character" w:customStyle="1" w:styleId="Heading6Char">
    <w:name w:val="Heading 6 Char"/>
    <w:basedOn w:val="DefaultParagraphFont"/>
    <w:link w:val="Heading6"/>
    <w:uiPriority w:val="9"/>
    <w:semiHidden/>
    <w:rsid w:val="002C689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C689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C6891"/>
    <w:rPr>
      <w:b/>
      <w:bCs/>
      <w:color w:val="7F7F7F" w:themeColor="text1" w:themeTint="80"/>
      <w:sz w:val="20"/>
      <w:szCs w:val="20"/>
    </w:rPr>
  </w:style>
  <w:style w:type="character" w:customStyle="1" w:styleId="Heading9Char">
    <w:name w:val="Heading 9 Char"/>
    <w:basedOn w:val="DefaultParagraphFont"/>
    <w:link w:val="Heading9"/>
    <w:uiPriority w:val="9"/>
    <w:semiHidden/>
    <w:rsid w:val="002C6891"/>
    <w:rPr>
      <w:b/>
      <w:bCs/>
      <w:i/>
      <w:iCs/>
      <w:color w:val="7F7F7F" w:themeColor="text1" w:themeTint="80"/>
      <w:sz w:val="18"/>
      <w:szCs w:val="18"/>
    </w:rPr>
  </w:style>
  <w:style w:type="paragraph" w:styleId="Title">
    <w:name w:val="Title"/>
    <w:basedOn w:val="Normal"/>
    <w:next w:val="Normal"/>
    <w:link w:val="TitleChar"/>
    <w:uiPriority w:val="10"/>
    <w:qFormat/>
    <w:rsid w:val="002C6891"/>
    <w:pPr>
      <w:spacing w:after="300"/>
      <w:contextualSpacing/>
    </w:pPr>
    <w:rPr>
      <w:smallCaps/>
      <w:sz w:val="52"/>
      <w:szCs w:val="52"/>
    </w:rPr>
  </w:style>
  <w:style w:type="character" w:customStyle="1" w:styleId="TitleChar">
    <w:name w:val="Title Char"/>
    <w:basedOn w:val="DefaultParagraphFont"/>
    <w:link w:val="Title"/>
    <w:uiPriority w:val="10"/>
    <w:rsid w:val="002C6891"/>
    <w:rPr>
      <w:smallCaps/>
      <w:sz w:val="52"/>
      <w:szCs w:val="52"/>
    </w:rPr>
  </w:style>
  <w:style w:type="paragraph" w:styleId="Subtitle">
    <w:name w:val="Subtitle"/>
    <w:basedOn w:val="Normal"/>
    <w:next w:val="Normal"/>
    <w:link w:val="SubtitleChar"/>
    <w:uiPriority w:val="11"/>
    <w:qFormat/>
    <w:rsid w:val="002C6891"/>
    <w:rPr>
      <w:i/>
      <w:iCs/>
      <w:smallCaps/>
      <w:spacing w:val="10"/>
      <w:sz w:val="28"/>
      <w:szCs w:val="28"/>
    </w:rPr>
  </w:style>
  <w:style w:type="character" w:customStyle="1" w:styleId="SubtitleChar">
    <w:name w:val="Subtitle Char"/>
    <w:basedOn w:val="DefaultParagraphFont"/>
    <w:link w:val="Subtitle"/>
    <w:uiPriority w:val="11"/>
    <w:rsid w:val="002C6891"/>
    <w:rPr>
      <w:i/>
      <w:iCs/>
      <w:smallCaps/>
      <w:spacing w:val="10"/>
      <w:sz w:val="28"/>
      <w:szCs w:val="28"/>
    </w:rPr>
  </w:style>
  <w:style w:type="character" w:styleId="Strong">
    <w:name w:val="Strong"/>
    <w:uiPriority w:val="22"/>
    <w:qFormat/>
    <w:rsid w:val="002C6891"/>
    <w:rPr>
      <w:b/>
      <w:bCs/>
    </w:rPr>
  </w:style>
  <w:style w:type="character" w:styleId="Emphasis">
    <w:name w:val="Emphasis"/>
    <w:uiPriority w:val="20"/>
    <w:qFormat/>
    <w:rsid w:val="002C6891"/>
    <w:rPr>
      <w:b/>
      <w:bCs/>
      <w:i/>
      <w:iCs/>
      <w:spacing w:val="10"/>
    </w:rPr>
  </w:style>
  <w:style w:type="paragraph" w:styleId="NoSpacing">
    <w:name w:val="No Spacing"/>
    <w:basedOn w:val="Normal"/>
    <w:uiPriority w:val="1"/>
    <w:qFormat/>
    <w:rsid w:val="002C6891"/>
    <w:pPr>
      <w:spacing w:after="0"/>
    </w:pPr>
  </w:style>
  <w:style w:type="paragraph" w:styleId="ListParagraph">
    <w:name w:val="List Paragraph"/>
    <w:basedOn w:val="Normal"/>
    <w:uiPriority w:val="34"/>
    <w:qFormat/>
    <w:rsid w:val="002C6891"/>
    <w:pPr>
      <w:ind w:left="720"/>
      <w:contextualSpacing/>
    </w:pPr>
  </w:style>
  <w:style w:type="paragraph" w:styleId="Quote">
    <w:name w:val="Quote"/>
    <w:basedOn w:val="Normal"/>
    <w:next w:val="Normal"/>
    <w:link w:val="QuoteChar"/>
    <w:uiPriority w:val="29"/>
    <w:qFormat/>
    <w:rsid w:val="00483C95"/>
    <w:pPr>
      <w:ind w:left="720" w:right="720"/>
    </w:pPr>
    <w:rPr>
      <w:i/>
    </w:rPr>
  </w:style>
  <w:style w:type="character" w:customStyle="1" w:styleId="QuoteChar">
    <w:name w:val="Quote Char"/>
    <w:basedOn w:val="DefaultParagraphFont"/>
    <w:link w:val="Quote"/>
    <w:uiPriority w:val="29"/>
    <w:rsid w:val="00483C95"/>
    <w:rPr>
      <w:i/>
    </w:rPr>
  </w:style>
  <w:style w:type="paragraph" w:styleId="IntenseQuote">
    <w:name w:val="Intense Quote"/>
    <w:basedOn w:val="Normal"/>
    <w:next w:val="Normal"/>
    <w:link w:val="IntenseQuoteChar"/>
    <w:uiPriority w:val="30"/>
    <w:qFormat/>
    <w:rsid w:val="002C689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C6891"/>
    <w:rPr>
      <w:i/>
      <w:iCs/>
    </w:rPr>
  </w:style>
  <w:style w:type="character" w:styleId="SubtleEmphasis">
    <w:name w:val="Subtle Emphasis"/>
    <w:uiPriority w:val="19"/>
    <w:qFormat/>
    <w:rsid w:val="002C6891"/>
    <w:rPr>
      <w:i/>
      <w:iCs/>
    </w:rPr>
  </w:style>
  <w:style w:type="character" w:styleId="IntenseEmphasis">
    <w:name w:val="Intense Emphasis"/>
    <w:uiPriority w:val="21"/>
    <w:qFormat/>
    <w:rsid w:val="002C6891"/>
    <w:rPr>
      <w:b/>
      <w:bCs/>
      <w:i/>
      <w:iCs/>
    </w:rPr>
  </w:style>
  <w:style w:type="character" w:styleId="SubtleReference">
    <w:name w:val="Subtle Reference"/>
    <w:basedOn w:val="DefaultParagraphFont"/>
    <w:uiPriority w:val="31"/>
    <w:qFormat/>
    <w:rsid w:val="002C6891"/>
    <w:rPr>
      <w:smallCaps/>
    </w:rPr>
  </w:style>
  <w:style w:type="character" w:styleId="IntenseReference">
    <w:name w:val="Intense Reference"/>
    <w:uiPriority w:val="32"/>
    <w:qFormat/>
    <w:rsid w:val="002C6891"/>
    <w:rPr>
      <w:b/>
      <w:bCs/>
      <w:smallCaps/>
    </w:rPr>
  </w:style>
  <w:style w:type="character" w:styleId="BookTitle">
    <w:name w:val="Book Title"/>
    <w:basedOn w:val="DefaultParagraphFont"/>
    <w:uiPriority w:val="33"/>
    <w:qFormat/>
    <w:rsid w:val="002C6891"/>
    <w:rPr>
      <w:i/>
      <w:iCs/>
      <w:smallCaps/>
      <w:spacing w:val="5"/>
    </w:rPr>
  </w:style>
  <w:style w:type="paragraph" w:styleId="TOCHeading">
    <w:name w:val="TOC Heading"/>
    <w:basedOn w:val="Heading1"/>
    <w:next w:val="Normal"/>
    <w:uiPriority w:val="39"/>
    <w:semiHidden/>
    <w:unhideWhenUsed/>
    <w:qFormat/>
    <w:rsid w:val="002C6891"/>
    <w:pPr>
      <w:outlineLvl w:val="9"/>
    </w:pPr>
  </w:style>
  <w:style w:type="paragraph" w:styleId="FootnoteText">
    <w:name w:val="footnote text"/>
    <w:basedOn w:val="Normal"/>
    <w:link w:val="FootnoteTextChar"/>
    <w:uiPriority w:val="99"/>
    <w:unhideWhenUsed/>
    <w:qFormat/>
    <w:rsid w:val="008C36EB"/>
    <w:pPr>
      <w:spacing w:after="0"/>
    </w:pPr>
    <w:rPr>
      <w:sz w:val="20"/>
      <w:szCs w:val="20"/>
    </w:rPr>
  </w:style>
  <w:style w:type="character" w:customStyle="1" w:styleId="FootnoteTextChar">
    <w:name w:val="Footnote Text Char"/>
    <w:basedOn w:val="DefaultParagraphFont"/>
    <w:link w:val="FootnoteText"/>
    <w:uiPriority w:val="99"/>
    <w:qFormat/>
    <w:rsid w:val="008C36EB"/>
    <w:rPr>
      <w:sz w:val="20"/>
      <w:szCs w:val="20"/>
    </w:rPr>
  </w:style>
  <w:style w:type="character" w:styleId="FootnoteReference">
    <w:name w:val="footnote reference"/>
    <w:basedOn w:val="DefaultParagraphFont"/>
    <w:uiPriority w:val="99"/>
    <w:unhideWhenUsed/>
    <w:qFormat/>
    <w:rsid w:val="008C36EB"/>
    <w:rPr>
      <w:vertAlign w:val="superscript"/>
    </w:rPr>
  </w:style>
  <w:style w:type="character" w:styleId="Hyperlink">
    <w:name w:val="Hyperlink"/>
    <w:basedOn w:val="DefaultParagraphFont"/>
    <w:uiPriority w:val="99"/>
    <w:unhideWhenUsed/>
    <w:rsid w:val="008C36EB"/>
    <w:rPr>
      <w:color w:val="0563C1" w:themeColor="hyperlink"/>
      <w:u w:val="single"/>
    </w:rPr>
  </w:style>
  <w:style w:type="paragraph" w:styleId="Header">
    <w:name w:val="header"/>
    <w:basedOn w:val="Normal"/>
    <w:link w:val="HeaderChar"/>
    <w:uiPriority w:val="99"/>
    <w:unhideWhenUsed/>
    <w:rsid w:val="004249B6"/>
    <w:pPr>
      <w:tabs>
        <w:tab w:val="center" w:pos="4680"/>
        <w:tab w:val="right" w:pos="9360"/>
      </w:tabs>
      <w:spacing w:after="0"/>
    </w:pPr>
  </w:style>
  <w:style w:type="character" w:customStyle="1" w:styleId="HeaderChar">
    <w:name w:val="Header Char"/>
    <w:basedOn w:val="DefaultParagraphFont"/>
    <w:link w:val="Header"/>
    <w:uiPriority w:val="99"/>
    <w:rsid w:val="004249B6"/>
  </w:style>
  <w:style w:type="paragraph" w:styleId="Footer">
    <w:name w:val="footer"/>
    <w:basedOn w:val="Normal"/>
    <w:link w:val="FooterChar"/>
    <w:uiPriority w:val="99"/>
    <w:unhideWhenUsed/>
    <w:rsid w:val="004249B6"/>
    <w:pPr>
      <w:tabs>
        <w:tab w:val="center" w:pos="4680"/>
        <w:tab w:val="right" w:pos="9360"/>
      </w:tabs>
      <w:spacing w:after="0"/>
    </w:pPr>
  </w:style>
  <w:style w:type="character" w:customStyle="1" w:styleId="FooterChar">
    <w:name w:val="Footer Char"/>
    <w:basedOn w:val="DefaultParagraphFont"/>
    <w:link w:val="Footer"/>
    <w:uiPriority w:val="99"/>
    <w:rsid w:val="004249B6"/>
  </w:style>
  <w:style w:type="paragraph" w:styleId="Revision">
    <w:name w:val="Revision"/>
    <w:hidden/>
    <w:uiPriority w:val="99"/>
    <w:semiHidden/>
    <w:rsid w:val="000451E8"/>
    <w:pPr>
      <w:spacing w:after="0" w:line="240" w:lineRule="auto"/>
    </w:pPr>
  </w:style>
  <w:style w:type="character" w:styleId="CommentReference">
    <w:name w:val="annotation reference"/>
    <w:basedOn w:val="DefaultParagraphFont"/>
    <w:uiPriority w:val="99"/>
    <w:semiHidden/>
    <w:unhideWhenUsed/>
    <w:rsid w:val="00B6680B"/>
    <w:rPr>
      <w:sz w:val="16"/>
      <w:szCs w:val="16"/>
    </w:rPr>
  </w:style>
  <w:style w:type="paragraph" w:styleId="CommentText">
    <w:name w:val="annotation text"/>
    <w:basedOn w:val="Normal"/>
    <w:link w:val="CommentTextChar"/>
    <w:uiPriority w:val="99"/>
    <w:unhideWhenUsed/>
    <w:rsid w:val="00B6680B"/>
    <w:rPr>
      <w:sz w:val="20"/>
      <w:szCs w:val="20"/>
    </w:rPr>
  </w:style>
  <w:style w:type="character" w:customStyle="1" w:styleId="CommentTextChar">
    <w:name w:val="Comment Text Char"/>
    <w:basedOn w:val="DefaultParagraphFont"/>
    <w:link w:val="CommentText"/>
    <w:uiPriority w:val="99"/>
    <w:rsid w:val="00B6680B"/>
    <w:rPr>
      <w:sz w:val="20"/>
      <w:szCs w:val="20"/>
    </w:rPr>
  </w:style>
  <w:style w:type="paragraph" w:styleId="CommentSubject">
    <w:name w:val="annotation subject"/>
    <w:basedOn w:val="CommentText"/>
    <w:next w:val="CommentText"/>
    <w:link w:val="CommentSubjectChar"/>
    <w:uiPriority w:val="99"/>
    <w:semiHidden/>
    <w:unhideWhenUsed/>
    <w:rsid w:val="00B6680B"/>
    <w:rPr>
      <w:b/>
      <w:bCs/>
    </w:rPr>
  </w:style>
  <w:style w:type="character" w:customStyle="1" w:styleId="CommentSubjectChar">
    <w:name w:val="Comment Subject Char"/>
    <w:basedOn w:val="CommentTextChar"/>
    <w:link w:val="CommentSubject"/>
    <w:uiPriority w:val="99"/>
    <w:semiHidden/>
    <w:rsid w:val="00B6680B"/>
    <w:rPr>
      <w:b/>
      <w:bCs/>
      <w:sz w:val="20"/>
      <w:szCs w:val="20"/>
    </w:rPr>
  </w:style>
  <w:style w:type="character" w:styleId="FollowedHyperlink">
    <w:name w:val="FollowedHyperlink"/>
    <w:basedOn w:val="DefaultParagraphFont"/>
    <w:uiPriority w:val="99"/>
    <w:semiHidden/>
    <w:unhideWhenUsed/>
    <w:rsid w:val="0041107E"/>
    <w:rPr>
      <w:color w:val="954F72" w:themeColor="followedHyperlink"/>
      <w:u w:val="single"/>
    </w:rPr>
  </w:style>
  <w:style w:type="paragraph" w:customStyle="1" w:styleId="Footnote">
    <w:name w:val="Footnote"/>
    <w:uiPriority w:val="99"/>
    <w:rsid w:val="0094542B"/>
    <w:pPr>
      <w:widowControl w:val="0"/>
      <w:autoSpaceDE w:val="0"/>
      <w:autoSpaceDN w:val="0"/>
      <w:adjustRightInd w:val="0"/>
      <w:spacing w:after="0" w:line="240" w:lineRule="auto"/>
    </w:pPr>
    <w:rPr>
      <w:rFonts w:ascii="Calibri" w:eastAsia="TimesNewRomanPSMT" w:hAnsi="Calibri" w:cs="Times New Roman"/>
      <w:sz w:val="20"/>
      <w:szCs w:val="20"/>
    </w:rPr>
  </w:style>
  <w:style w:type="paragraph" w:customStyle="1" w:styleId="paragraph">
    <w:name w:val="paragraph"/>
    <w:basedOn w:val="Normal"/>
    <w:rsid w:val="00DC30FF"/>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778E3"/>
    <w:rPr>
      <w:color w:val="605E5C"/>
      <w:shd w:val="clear" w:color="auto" w:fill="E1DFDD"/>
    </w:rPr>
  </w:style>
  <w:style w:type="paragraph" w:styleId="BalloonText">
    <w:name w:val="Balloon Text"/>
    <w:basedOn w:val="Normal"/>
    <w:link w:val="BalloonTextChar"/>
    <w:uiPriority w:val="99"/>
    <w:semiHidden/>
    <w:unhideWhenUsed/>
    <w:rsid w:val="009778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606459"/>
    <w:rPr>
      <w:color w:val="605E5C"/>
      <w:shd w:val="clear" w:color="auto" w:fill="E1DFDD"/>
    </w:rPr>
  </w:style>
  <w:style w:type="character" w:styleId="PageNumber">
    <w:name w:val="page number"/>
    <w:basedOn w:val="DefaultParagraphFont"/>
    <w:uiPriority w:val="99"/>
    <w:semiHidden/>
    <w:unhideWhenUsed/>
    <w:rsid w:val="00762B83"/>
  </w:style>
  <w:style w:type="character" w:customStyle="1" w:styleId="ReportBodyChar">
    <w:name w:val="Report Body Char"/>
    <w:basedOn w:val="DefaultParagraphFont"/>
    <w:link w:val="ReportBody"/>
    <w:qFormat/>
    <w:rsid w:val="002B1630"/>
  </w:style>
  <w:style w:type="paragraph" w:customStyle="1" w:styleId="ReportBody">
    <w:name w:val="Report Body"/>
    <w:basedOn w:val="Normal"/>
    <w:link w:val="ReportBodyChar"/>
    <w:qFormat/>
    <w:rsid w:val="002B1630"/>
    <w:pPr>
      <w:spacing w:after="100"/>
    </w:pPr>
  </w:style>
  <w:style w:type="paragraph" w:customStyle="1" w:styleId="body">
    <w:name w:val="body"/>
    <w:basedOn w:val="Normal"/>
    <w:qFormat/>
    <w:rsid w:val="0096091B"/>
    <w:pPr>
      <w:spacing w:after="240" w:line="300" w:lineRule="auto"/>
    </w:pPr>
    <w:rPr>
      <w:rFonts w:ascii="Roboto" w:eastAsia="Roboto" w:hAnsi="Roboto" w:cs="Roboto"/>
      <w:color w:val="4C4C4C"/>
      <w:sz w:val="20"/>
      <w:szCs w:val="24"/>
    </w:rPr>
  </w:style>
  <w:style w:type="character" w:customStyle="1" w:styleId="UnresolvedMention3">
    <w:name w:val="Unresolved Mention3"/>
    <w:basedOn w:val="DefaultParagraphFont"/>
    <w:uiPriority w:val="99"/>
    <w:semiHidden/>
    <w:unhideWhenUsed/>
    <w:rsid w:val="000F6E7A"/>
    <w:rPr>
      <w:color w:val="605E5C"/>
      <w:shd w:val="clear" w:color="auto" w:fill="E1DFDD"/>
    </w:rPr>
  </w:style>
  <w:style w:type="paragraph" w:styleId="Caption">
    <w:name w:val="caption"/>
    <w:basedOn w:val="Normal"/>
    <w:next w:val="Normal"/>
    <w:uiPriority w:val="35"/>
    <w:unhideWhenUsed/>
    <w:rsid w:val="00D91C32"/>
    <w:rPr>
      <w:i/>
      <w:iCs/>
      <w:color w:val="44546A" w:themeColor="text2"/>
      <w:sz w:val="18"/>
      <w:szCs w:val="18"/>
    </w:rPr>
  </w:style>
  <w:style w:type="table" w:styleId="TableGrid">
    <w:name w:val="Table Grid"/>
    <w:basedOn w:val="TableNormal"/>
    <w:uiPriority w:val="39"/>
    <w:rsid w:val="00BD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8482E"/>
    <w:rPr>
      <w:color w:val="605E5C"/>
      <w:shd w:val="clear" w:color="auto" w:fill="E1DFDD"/>
    </w:rPr>
  </w:style>
  <w:style w:type="character" w:customStyle="1" w:styleId="UnresolvedMention5">
    <w:name w:val="Unresolved Mention5"/>
    <w:basedOn w:val="DefaultParagraphFont"/>
    <w:uiPriority w:val="99"/>
    <w:semiHidden/>
    <w:unhideWhenUsed/>
    <w:rsid w:val="000A6DDE"/>
    <w:rPr>
      <w:color w:val="605E5C"/>
      <w:shd w:val="clear" w:color="auto" w:fill="E1DFDD"/>
    </w:rPr>
  </w:style>
  <w:style w:type="character" w:styleId="UnresolvedMention">
    <w:name w:val="Unresolved Mention"/>
    <w:basedOn w:val="DefaultParagraphFont"/>
    <w:uiPriority w:val="99"/>
    <w:semiHidden/>
    <w:unhideWhenUsed/>
    <w:rsid w:val="004412DA"/>
    <w:rPr>
      <w:color w:val="605E5C"/>
      <w:shd w:val="clear" w:color="auto" w:fill="E1DFDD"/>
    </w:rPr>
  </w:style>
  <w:style w:type="character" w:customStyle="1" w:styleId="apple-converted-space">
    <w:name w:val="apple-converted-space"/>
    <w:basedOn w:val="DefaultParagraphFont"/>
    <w:rsid w:val="0046615F"/>
  </w:style>
  <w:style w:type="table" w:styleId="PlainTable1">
    <w:name w:val="Plain Table 1"/>
    <w:basedOn w:val="TableNormal"/>
    <w:uiPriority w:val="41"/>
    <w:rsid w:val="00B7456D"/>
    <w:pPr>
      <w:spacing w:after="0" w:line="240" w:lineRule="auto"/>
    </w:pPr>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8251">
      <w:bodyDiv w:val="1"/>
      <w:marLeft w:val="0"/>
      <w:marRight w:val="0"/>
      <w:marTop w:val="0"/>
      <w:marBottom w:val="0"/>
      <w:divBdr>
        <w:top w:val="none" w:sz="0" w:space="0" w:color="auto"/>
        <w:left w:val="none" w:sz="0" w:space="0" w:color="auto"/>
        <w:bottom w:val="none" w:sz="0" w:space="0" w:color="auto"/>
        <w:right w:val="none" w:sz="0" w:space="0" w:color="auto"/>
      </w:divBdr>
    </w:div>
    <w:div w:id="33502391">
      <w:bodyDiv w:val="1"/>
      <w:marLeft w:val="0"/>
      <w:marRight w:val="0"/>
      <w:marTop w:val="0"/>
      <w:marBottom w:val="0"/>
      <w:divBdr>
        <w:top w:val="none" w:sz="0" w:space="0" w:color="auto"/>
        <w:left w:val="none" w:sz="0" w:space="0" w:color="auto"/>
        <w:bottom w:val="none" w:sz="0" w:space="0" w:color="auto"/>
        <w:right w:val="none" w:sz="0" w:space="0" w:color="auto"/>
      </w:divBdr>
    </w:div>
    <w:div w:id="58330611">
      <w:bodyDiv w:val="1"/>
      <w:marLeft w:val="0"/>
      <w:marRight w:val="0"/>
      <w:marTop w:val="0"/>
      <w:marBottom w:val="0"/>
      <w:divBdr>
        <w:top w:val="none" w:sz="0" w:space="0" w:color="auto"/>
        <w:left w:val="none" w:sz="0" w:space="0" w:color="auto"/>
        <w:bottom w:val="none" w:sz="0" w:space="0" w:color="auto"/>
        <w:right w:val="none" w:sz="0" w:space="0" w:color="auto"/>
      </w:divBdr>
    </w:div>
    <w:div w:id="58797010">
      <w:bodyDiv w:val="1"/>
      <w:marLeft w:val="0"/>
      <w:marRight w:val="0"/>
      <w:marTop w:val="0"/>
      <w:marBottom w:val="0"/>
      <w:divBdr>
        <w:top w:val="none" w:sz="0" w:space="0" w:color="auto"/>
        <w:left w:val="none" w:sz="0" w:space="0" w:color="auto"/>
        <w:bottom w:val="none" w:sz="0" w:space="0" w:color="auto"/>
        <w:right w:val="none" w:sz="0" w:space="0" w:color="auto"/>
      </w:divBdr>
    </w:div>
    <w:div w:id="61145928">
      <w:bodyDiv w:val="1"/>
      <w:marLeft w:val="0"/>
      <w:marRight w:val="0"/>
      <w:marTop w:val="0"/>
      <w:marBottom w:val="0"/>
      <w:divBdr>
        <w:top w:val="none" w:sz="0" w:space="0" w:color="auto"/>
        <w:left w:val="none" w:sz="0" w:space="0" w:color="auto"/>
        <w:bottom w:val="none" w:sz="0" w:space="0" w:color="auto"/>
        <w:right w:val="none" w:sz="0" w:space="0" w:color="auto"/>
      </w:divBdr>
    </w:div>
    <w:div w:id="71314828">
      <w:bodyDiv w:val="1"/>
      <w:marLeft w:val="0"/>
      <w:marRight w:val="0"/>
      <w:marTop w:val="0"/>
      <w:marBottom w:val="0"/>
      <w:divBdr>
        <w:top w:val="none" w:sz="0" w:space="0" w:color="auto"/>
        <w:left w:val="none" w:sz="0" w:space="0" w:color="auto"/>
        <w:bottom w:val="none" w:sz="0" w:space="0" w:color="auto"/>
        <w:right w:val="none" w:sz="0" w:space="0" w:color="auto"/>
      </w:divBdr>
    </w:div>
    <w:div w:id="76245473">
      <w:bodyDiv w:val="1"/>
      <w:marLeft w:val="0"/>
      <w:marRight w:val="0"/>
      <w:marTop w:val="0"/>
      <w:marBottom w:val="0"/>
      <w:divBdr>
        <w:top w:val="none" w:sz="0" w:space="0" w:color="auto"/>
        <w:left w:val="none" w:sz="0" w:space="0" w:color="auto"/>
        <w:bottom w:val="none" w:sz="0" w:space="0" w:color="auto"/>
        <w:right w:val="none" w:sz="0" w:space="0" w:color="auto"/>
      </w:divBdr>
    </w:div>
    <w:div w:id="99110050">
      <w:bodyDiv w:val="1"/>
      <w:marLeft w:val="0"/>
      <w:marRight w:val="0"/>
      <w:marTop w:val="0"/>
      <w:marBottom w:val="0"/>
      <w:divBdr>
        <w:top w:val="none" w:sz="0" w:space="0" w:color="auto"/>
        <w:left w:val="none" w:sz="0" w:space="0" w:color="auto"/>
        <w:bottom w:val="none" w:sz="0" w:space="0" w:color="auto"/>
        <w:right w:val="none" w:sz="0" w:space="0" w:color="auto"/>
      </w:divBdr>
    </w:div>
    <w:div w:id="99178642">
      <w:bodyDiv w:val="1"/>
      <w:marLeft w:val="0"/>
      <w:marRight w:val="0"/>
      <w:marTop w:val="0"/>
      <w:marBottom w:val="0"/>
      <w:divBdr>
        <w:top w:val="none" w:sz="0" w:space="0" w:color="auto"/>
        <w:left w:val="none" w:sz="0" w:space="0" w:color="auto"/>
        <w:bottom w:val="none" w:sz="0" w:space="0" w:color="auto"/>
        <w:right w:val="none" w:sz="0" w:space="0" w:color="auto"/>
      </w:divBdr>
    </w:div>
    <w:div w:id="127282186">
      <w:bodyDiv w:val="1"/>
      <w:marLeft w:val="0"/>
      <w:marRight w:val="0"/>
      <w:marTop w:val="0"/>
      <w:marBottom w:val="0"/>
      <w:divBdr>
        <w:top w:val="none" w:sz="0" w:space="0" w:color="auto"/>
        <w:left w:val="none" w:sz="0" w:space="0" w:color="auto"/>
        <w:bottom w:val="none" w:sz="0" w:space="0" w:color="auto"/>
        <w:right w:val="none" w:sz="0" w:space="0" w:color="auto"/>
      </w:divBdr>
    </w:div>
    <w:div w:id="170028203">
      <w:bodyDiv w:val="1"/>
      <w:marLeft w:val="0"/>
      <w:marRight w:val="0"/>
      <w:marTop w:val="0"/>
      <w:marBottom w:val="0"/>
      <w:divBdr>
        <w:top w:val="none" w:sz="0" w:space="0" w:color="auto"/>
        <w:left w:val="none" w:sz="0" w:space="0" w:color="auto"/>
        <w:bottom w:val="none" w:sz="0" w:space="0" w:color="auto"/>
        <w:right w:val="none" w:sz="0" w:space="0" w:color="auto"/>
      </w:divBdr>
    </w:div>
    <w:div w:id="170073846">
      <w:bodyDiv w:val="1"/>
      <w:marLeft w:val="0"/>
      <w:marRight w:val="0"/>
      <w:marTop w:val="0"/>
      <w:marBottom w:val="0"/>
      <w:divBdr>
        <w:top w:val="none" w:sz="0" w:space="0" w:color="auto"/>
        <w:left w:val="none" w:sz="0" w:space="0" w:color="auto"/>
        <w:bottom w:val="none" w:sz="0" w:space="0" w:color="auto"/>
        <w:right w:val="none" w:sz="0" w:space="0" w:color="auto"/>
      </w:divBdr>
    </w:div>
    <w:div w:id="175311011">
      <w:bodyDiv w:val="1"/>
      <w:marLeft w:val="0"/>
      <w:marRight w:val="0"/>
      <w:marTop w:val="0"/>
      <w:marBottom w:val="0"/>
      <w:divBdr>
        <w:top w:val="none" w:sz="0" w:space="0" w:color="auto"/>
        <w:left w:val="none" w:sz="0" w:space="0" w:color="auto"/>
        <w:bottom w:val="none" w:sz="0" w:space="0" w:color="auto"/>
        <w:right w:val="none" w:sz="0" w:space="0" w:color="auto"/>
      </w:divBdr>
    </w:div>
    <w:div w:id="179785950">
      <w:bodyDiv w:val="1"/>
      <w:marLeft w:val="0"/>
      <w:marRight w:val="0"/>
      <w:marTop w:val="0"/>
      <w:marBottom w:val="0"/>
      <w:divBdr>
        <w:top w:val="none" w:sz="0" w:space="0" w:color="auto"/>
        <w:left w:val="none" w:sz="0" w:space="0" w:color="auto"/>
        <w:bottom w:val="none" w:sz="0" w:space="0" w:color="auto"/>
        <w:right w:val="none" w:sz="0" w:space="0" w:color="auto"/>
      </w:divBdr>
    </w:div>
    <w:div w:id="188184856">
      <w:bodyDiv w:val="1"/>
      <w:marLeft w:val="0"/>
      <w:marRight w:val="0"/>
      <w:marTop w:val="0"/>
      <w:marBottom w:val="0"/>
      <w:divBdr>
        <w:top w:val="none" w:sz="0" w:space="0" w:color="auto"/>
        <w:left w:val="none" w:sz="0" w:space="0" w:color="auto"/>
        <w:bottom w:val="none" w:sz="0" w:space="0" w:color="auto"/>
        <w:right w:val="none" w:sz="0" w:space="0" w:color="auto"/>
      </w:divBdr>
    </w:div>
    <w:div w:id="245580587">
      <w:bodyDiv w:val="1"/>
      <w:marLeft w:val="0"/>
      <w:marRight w:val="0"/>
      <w:marTop w:val="0"/>
      <w:marBottom w:val="0"/>
      <w:divBdr>
        <w:top w:val="none" w:sz="0" w:space="0" w:color="auto"/>
        <w:left w:val="none" w:sz="0" w:space="0" w:color="auto"/>
        <w:bottom w:val="none" w:sz="0" w:space="0" w:color="auto"/>
        <w:right w:val="none" w:sz="0" w:space="0" w:color="auto"/>
      </w:divBdr>
    </w:div>
    <w:div w:id="254173395">
      <w:bodyDiv w:val="1"/>
      <w:marLeft w:val="0"/>
      <w:marRight w:val="0"/>
      <w:marTop w:val="0"/>
      <w:marBottom w:val="0"/>
      <w:divBdr>
        <w:top w:val="none" w:sz="0" w:space="0" w:color="auto"/>
        <w:left w:val="none" w:sz="0" w:space="0" w:color="auto"/>
        <w:bottom w:val="none" w:sz="0" w:space="0" w:color="auto"/>
        <w:right w:val="none" w:sz="0" w:space="0" w:color="auto"/>
      </w:divBdr>
    </w:div>
    <w:div w:id="268053990">
      <w:bodyDiv w:val="1"/>
      <w:marLeft w:val="0"/>
      <w:marRight w:val="0"/>
      <w:marTop w:val="0"/>
      <w:marBottom w:val="0"/>
      <w:divBdr>
        <w:top w:val="none" w:sz="0" w:space="0" w:color="auto"/>
        <w:left w:val="none" w:sz="0" w:space="0" w:color="auto"/>
        <w:bottom w:val="none" w:sz="0" w:space="0" w:color="auto"/>
        <w:right w:val="none" w:sz="0" w:space="0" w:color="auto"/>
      </w:divBdr>
    </w:div>
    <w:div w:id="330450873">
      <w:bodyDiv w:val="1"/>
      <w:marLeft w:val="0"/>
      <w:marRight w:val="0"/>
      <w:marTop w:val="0"/>
      <w:marBottom w:val="0"/>
      <w:divBdr>
        <w:top w:val="none" w:sz="0" w:space="0" w:color="auto"/>
        <w:left w:val="none" w:sz="0" w:space="0" w:color="auto"/>
        <w:bottom w:val="none" w:sz="0" w:space="0" w:color="auto"/>
        <w:right w:val="none" w:sz="0" w:space="0" w:color="auto"/>
      </w:divBdr>
    </w:div>
    <w:div w:id="375007494">
      <w:bodyDiv w:val="1"/>
      <w:marLeft w:val="0"/>
      <w:marRight w:val="0"/>
      <w:marTop w:val="0"/>
      <w:marBottom w:val="0"/>
      <w:divBdr>
        <w:top w:val="none" w:sz="0" w:space="0" w:color="auto"/>
        <w:left w:val="none" w:sz="0" w:space="0" w:color="auto"/>
        <w:bottom w:val="none" w:sz="0" w:space="0" w:color="auto"/>
        <w:right w:val="none" w:sz="0" w:space="0" w:color="auto"/>
      </w:divBdr>
    </w:div>
    <w:div w:id="378673174">
      <w:bodyDiv w:val="1"/>
      <w:marLeft w:val="0"/>
      <w:marRight w:val="0"/>
      <w:marTop w:val="0"/>
      <w:marBottom w:val="0"/>
      <w:divBdr>
        <w:top w:val="none" w:sz="0" w:space="0" w:color="auto"/>
        <w:left w:val="none" w:sz="0" w:space="0" w:color="auto"/>
        <w:bottom w:val="none" w:sz="0" w:space="0" w:color="auto"/>
        <w:right w:val="none" w:sz="0" w:space="0" w:color="auto"/>
      </w:divBdr>
    </w:div>
    <w:div w:id="395321958">
      <w:bodyDiv w:val="1"/>
      <w:marLeft w:val="0"/>
      <w:marRight w:val="0"/>
      <w:marTop w:val="0"/>
      <w:marBottom w:val="0"/>
      <w:divBdr>
        <w:top w:val="none" w:sz="0" w:space="0" w:color="auto"/>
        <w:left w:val="none" w:sz="0" w:space="0" w:color="auto"/>
        <w:bottom w:val="none" w:sz="0" w:space="0" w:color="auto"/>
        <w:right w:val="none" w:sz="0" w:space="0" w:color="auto"/>
      </w:divBdr>
    </w:div>
    <w:div w:id="490609998">
      <w:bodyDiv w:val="1"/>
      <w:marLeft w:val="0"/>
      <w:marRight w:val="0"/>
      <w:marTop w:val="0"/>
      <w:marBottom w:val="0"/>
      <w:divBdr>
        <w:top w:val="none" w:sz="0" w:space="0" w:color="auto"/>
        <w:left w:val="none" w:sz="0" w:space="0" w:color="auto"/>
        <w:bottom w:val="none" w:sz="0" w:space="0" w:color="auto"/>
        <w:right w:val="none" w:sz="0" w:space="0" w:color="auto"/>
      </w:divBdr>
    </w:div>
    <w:div w:id="498037353">
      <w:bodyDiv w:val="1"/>
      <w:marLeft w:val="0"/>
      <w:marRight w:val="0"/>
      <w:marTop w:val="0"/>
      <w:marBottom w:val="0"/>
      <w:divBdr>
        <w:top w:val="none" w:sz="0" w:space="0" w:color="auto"/>
        <w:left w:val="none" w:sz="0" w:space="0" w:color="auto"/>
        <w:bottom w:val="none" w:sz="0" w:space="0" w:color="auto"/>
        <w:right w:val="none" w:sz="0" w:space="0" w:color="auto"/>
      </w:divBdr>
    </w:div>
    <w:div w:id="540442097">
      <w:bodyDiv w:val="1"/>
      <w:marLeft w:val="0"/>
      <w:marRight w:val="0"/>
      <w:marTop w:val="0"/>
      <w:marBottom w:val="0"/>
      <w:divBdr>
        <w:top w:val="none" w:sz="0" w:space="0" w:color="auto"/>
        <w:left w:val="none" w:sz="0" w:space="0" w:color="auto"/>
        <w:bottom w:val="none" w:sz="0" w:space="0" w:color="auto"/>
        <w:right w:val="none" w:sz="0" w:space="0" w:color="auto"/>
      </w:divBdr>
    </w:div>
    <w:div w:id="541140885">
      <w:bodyDiv w:val="1"/>
      <w:marLeft w:val="0"/>
      <w:marRight w:val="0"/>
      <w:marTop w:val="0"/>
      <w:marBottom w:val="0"/>
      <w:divBdr>
        <w:top w:val="none" w:sz="0" w:space="0" w:color="auto"/>
        <w:left w:val="none" w:sz="0" w:space="0" w:color="auto"/>
        <w:bottom w:val="none" w:sz="0" w:space="0" w:color="auto"/>
        <w:right w:val="none" w:sz="0" w:space="0" w:color="auto"/>
      </w:divBdr>
    </w:div>
    <w:div w:id="541744754">
      <w:bodyDiv w:val="1"/>
      <w:marLeft w:val="0"/>
      <w:marRight w:val="0"/>
      <w:marTop w:val="0"/>
      <w:marBottom w:val="0"/>
      <w:divBdr>
        <w:top w:val="none" w:sz="0" w:space="0" w:color="auto"/>
        <w:left w:val="none" w:sz="0" w:space="0" w:color="auto"/>
        <w:bottom w:val="none" w:sz="0" w:space="0" w:color="auto"/>
        <w:right w:val="none" w:sz="0" w:space="0" w:color="auto"/>
      </w:divBdr>
    </w:div>
    <w:div w:id="542834855">
      <w:bodyDiv w:val="1"/>
      <w:marLeft w:val="0"/>
      <w:marRight w:val="0"/>
      <w:marTop w:val="0"/>
      <w:marBottom w:val="0"/>
      <w:divBdr>
        <w:top w:val="none" w:sz="0" w:space="0" w:color="auto"/>
        <w:left w:val="none" w:sz="0" w:space="0" w:color="auto"/>
        <w:bottom w:val="none" w:sz="0" w:space="0" w:color="auto"/>
        <w:right w:val="none" w:sz="0" w:space="0" w:color="auto"/>
      </w:divBdr>
    </w:div>
    <w:div w:id="550191220">
      <w:bodyDiv w:val="1"/>
      <w:marLeft w:val="0"/>
      <w:marRight w:val="0"/>
      <w:marTop w:val="0"/>
      <w:marBottom w:val="0"/>
      <w:divBdr>
        <w:top w:val="none" w:sz="0" w:space="0" w:color="auto"/>
        <w:left w:val="none" w:sz="0" w:space="0" w:color="auto"/>
        <w:bottom w:val="none" w:sz="0" w:space="0" w:color="auto"/>
        <w:right w:val="none" w:sz="0" w:space="0" w:color="auto"/>
      </w:divBdr>
    </w:div>
    <w:div w:id="555900362">
      <w:bodyDiv w:val="1"/>
      <w:marLeft w:val="0"/>
      <w:marRight w:val="0"/>
      <w:marTop w:val="0"/>
      <w:marBottom w:val="0"/>
      <w:divBdr>
        <w:top w:val="none" w:sz="0" w:space="0" w:color="auto"/>
        <w:left w:val="none" w:sz="0" w:space="0" w:color="auto"/>
        <w:bottom w:val="none" w:sz="0" w:space="0" w:color="auto"/>
        <w:right w:val="none" w:sz="0" w:space="0" w:color="auto"/>
      </w:divBdr>
    </w:div>
    <w:div w:id="559482772">
      <w:bodyDiv w:val="1"/>
      <w:marLeft w:val="0"/>
      <w:marRight w:val="0"/>
      <w:marTop w:val="0"/>
      <w:marBottom w:val="0"/>
      <w:divBdr>
        <w:top w:val="none" w:sz="0" w:space="0" w:color="auto"/>
        <w:left w:val="none" w:sz="0" w:space="0" w:color="auto"/>
        <w:bottom w:val="none" w:sz="0" w:space="0" w:color="auto"/>
        <w:right w:val="none" w:sz="0" w:space="0" w:color="auto"/>
      </w:divBdr>
    </w:div>
    <w:div w:id="563686269">
      <w:bodyDiv w:val="1"/>
      <w:marLeft w:val="0"/>
      <w:marRight w:val="0"/>
      <w:marTop w:val="0"/>
      <w:marBottom w:val="0"/>
      <w:divBdr>
        <w:top w:val="none" w:sz="0" w:space="0" w:color="auto"/>
        <w:left w:val="none" w:sz="0" w:space="0" w:color="auto"/>
        <w:bottom w:val="none" w:sz="0" w:space="0" w:color="auto"/>
        <w:right w:val="none" w:sz="0" w:space="0" w:color="auto"/>
      </w:divBdr>
    </w:div>
    <w:div w:id="591356044">
      <w:bodyDiv w:val="1"/>
      <w:marLeft w:val="0"/>
      <w:marRight w:val="0"/>
      <w:marTop w:val="0"/>
      <w:marBottom w:val="0"/>
      <w:divBdr>
        <w:top w:val="none" w:sz="0" w:space="0" w:color="auto"/>
        <w:left w:val="none" w:sz="0" w:space="0" w:color="auto"/>
        <w:bottom w:val="none" w:sz="0" w:space="0" w:color="auto"/>
        <w:right w:val="none" w:sz="0" w:space="0" w:color="auto"/>
      </w:divBdr>
    </w:div>
    <w:div w:id="595020493">
      <w:bodyDiv w:val="1"/>
      <w:marLeft w:val="0"/>
      <w:marRight w:val="0"/>
      <w:marTop w:val="0"/>
      <w:marBottom w:val="0"/>
      <w:divBdr>
        <w:top w:val="none" w:sz="0" w:space="0" w:color="auto"/>
        <w:left w:val="none" w:sz="0" w:space="0" w:color="auto"/>
        <w:bottom w:val="none" w:sz="0" w:space="0" w:color="auto"/>
        <w:right w:val="none" w:sz="0" w:space="0" w:color="auto"/>
      </w:divBdr>
    </w:div>
    <w:div w:id="597249131">
      <w:bodyDiv w:val="1"/>
      <w:marLeft w:val="0"/>
      <w:marRight w:val="0"/>
      <w:marTop w:val="0"/>
      <w:marBottom w:val="0"/>
      <w:divBdr>
        <w:top w:val="none" w:sz="0" w:space="0" w:color="auto"/>
        <w:left w:val="none" w:sz="0" w:space="0" w:color="auto"/>
        <w:bottom w:val="none" w:sz="0" w:space="0" w:color="auto"/>
        <w:right w:val="none" w:sz="0" w:space="0" w:color="auto"/>
      </w:divBdr>
    </w:div>
    <w:div w:id="641929542">
      <w:bodyDiv w:val="1"/>
      <w:marLeft w:val="0"/>
      <w:marRight w:val="0"/>
      <w:marTop w:val="0"/>
      <w:marBottom w:val="0"/>
      <w:divBdr>
        <w:top w:val="none" w:sz="0" w:space="0" w:color="auto"/>
        <w:left w:val="none" w:sz="0" w:space="0" w:color="auto"/>
        <w:bottom w:val="none" w:sz="0" w:space="0" w:color="auto"/>
        <w:right w:val="none" w:sz="0" w:space="0" w:color="auto"/>
      </w:divBdr>
    </w:div>
    <w:div w:id="683627094">
      <w:bodyDiv w:val="1"/>
      <w:marLeft w:val="0"/>
      <w:marRight w:val="0"/>
      <w:marTop w:val="0"/>
      <w:marBottom w:val="0"/>
      <w:divBdr>
        <w:top w:val="none" w:sz="0" w:space="0" w:color="auto"/>
        <w:left w:val="none" w:sz="0" w:space="0" w:color="auto"/>
        <w:bottom w:val="none" w:sz="0" w:space="0" w:color="auto"/>
        <w:right w:val="none" w:sz="0" w:space="0" w:color="auto"/>
      </w:divBdr>
    </w:div>
    <w:div w:id="700209628">
      <w:bodyDiv w:val="1"/>
      <w:marLeft w:val="0"/>
      <w:marRight w:val="0"/>
      <w:marTop w:val="0"/>
      <w:marBottom w:val="0"/>
      <w:divBdr>
        <w:top w:val="none" w:sz="0" w:space="0" w:color="auto"/>
        <w:left w:val="none" w:sz="0" w:space="0" w:color="auto"/>
        <w:bottom w:val="none" w:sz="0" w:space="0" w:color="auto"/>
        <w:right w:val="none" w:sz="0" w:space="0" w:color="auto"/>
      </w:divBdr>
    </w:div>
    <w:div w:id="700277083">
      <w:bodyDiv w:val="1"/>
      <w:marLeft w:val="0"/>
      <w:marRight w:val="0"/>
      <w:marTop w:val="0"/>
      <w:marBottom w:val="0"/>
      <w:divBdr>
        <w:top w:val="none" w:sz="0" w:space="0" w:color="auto"/>
        <w:left w:val="none" w:sz="0" w:space="0" w:color="auto"/>
        <w:bottom w:val="none" w:sz="0" w:space="0" w:color="auto"/>
        <w:right w:val="none" w:sz="0" w:space="0" w:color="auto"/>
      </w:divBdr>
    </w:div>
    <w:div w:id="718937215">
      <w:bodyDiv w:val="1"/>
      <w:marLeft w:val="0"/>
      <w:marRight w:val="0"/>
      <w:marTop w:val="0"/>
      <w:marBottom w:val="0"/>
      <w:divBdr>
        <w:top w:val="none" w:sz="0" w:space="0" w:color="auto"/>
        <w:left w:val="none" w:sz="0" w:space="0" w:color="auto"/>
        <w:bottom w:val="none" w:sz="0" w:space="0" w:color="auto"/>
        <w:right w:val="none" w:sz="0" w:space="0" w:color="auto"/>
      </w:divBdr>
    </w:div>
    <w:div w:id="769739172">
      <w:bodyDiv w:val="1"/>
      <w:marLeft w:val="0"/>
      <w:marRight w:val="0"/>
      <w:marTop w:val="0"/>
      <w:marBottom w:val="0"/>
      <w:divBdr>
        <w:top w:val="none" w:sz="0" w:space="0" w:color="auto"/>
        <w:left w:val="none" w:sz="0" w:space="0" w:color="auto"/>
        <w:bottom w:val="none" w:sz="0" w:space="0" w:color="auto"/>
        <w:right w:val="none" w:sz="0" w:space="0" w:color="auto"/>
      </w:divBdr>
    </w:div>
    <w:div w:id="812330227">
      <w:bodyDiv w:val="1"/>
      <w:marLeft w:val="0"/>
      <w:marRight w:val="0"/>
      <w:marTop w:val="0"/>
      <w:marBottom w:val="0"/>
      <w:divBdr>
        <w:top w:val="none" w:sz="0" w:space="0" w:color="auto"/>
        <w:left w:val="none" w:sz="0" w:space="0" w:color="auto"/>
        <w:bottom w:val="none" w:sz="0" w:space="0" w:color="auto"/>
        <w:right w:val="none" w:sz="0" w:space="0" w:color="auto"/>
      </w:divBdr>
    </w:div>
    <w:div w:id="925042026">
      <w:bodyDiv w:val="1"/>
      <w:marLeft w:val="0"/>
      <w:marRight w:val="0"/>
      <w:marTop w:val="0"/>
      <w:marBottom w:val="0"/>
      <w:divBdr>
        <w:top w:val="none" w:sz="0" w:space="0" w:color="auto"/>
        <w:left w:val="none" w:sz="0" w:space="0" w:color="auto"/>
        <w:bottom w:val="none" w:sz="0" w:space="0" w:color="auto"/>
        <w:right w:val="none" w:sz="0" w:space="0" w:color="auto"/>
      </w:divBdr>
    </w:div>
    <w:div w:id="943420039">
      <w:bodyDiv w:val="1"/>
      <w:marLeft w:val="0"/>
      <w:marRight w:val="0"/>
      <w:marTop w:val="0"/>
      <w:marBottom w:val="0"/>
      <w:divBdr>
        <w:top w:val="none" w:sz="0" w:space="0" w:color="auto"/>
        <w:left w:val="none" w:sz="0" w:space="0" w:color="auto"/>
        <w:bottom w:val="none" w:sz="0" w:space="0" w:color="auto"/>
        <w:right w:val="none" w:sz="0" w:space="0" w:color="auto"/>
      </w:divBdr>
    </w:div>
    <w:div w:id="952857066">
      <w:bodyDiv w:val="1"/>
      <w:marLeft w:val="0"/>
      <w:marRight w:val="0"/>
      <w:marTop w:val="0"/>
      <w:marBottom w:val="0"/>
      <w:divBdr>
        <w:top w:val="none" w:sz="0" w:space="0" w:color="auto"/>
        <w:left w:val="none" w:sz="0" w:space="0" w:color="auto"/>
        <w:bottom w:val="none" w:sz="0" w:space="0" w:color="auto"/>
        <w:right w:val="none" w:sz="0" w:space="0" w:color="auto"/>
      </w:divBdr>
    </w:div>
    <w:div w:id="976226722">
      <w:bodyDiv w:val="1"/>
      <w:marLeft w:val="0"/>
      <w:marRight w:val="0"/>
      <w:marTop w:val="0"/>
      <w:marBottom w:val="0"/>
      <w:divBdr>
        <w:top w:val="none" w:sz="0" w:space="0" w:color="auto"/>
        <w:left w:val="none" w:sz="0" w:space="0" w:color="auto"/>
        <w:bottom w:val="none" w:sz="0" w:space="0" w:color="auto"/>
        <w:right w:val="none" w:sz="0" w:space="0" w:color="auto"/>
      </w:divBdr>
    </w:div>
    <w:div w:id="982351469">
      <w:bodyDiv w:val="1"/>
      <w:marLeft w:val="0"/>
      <w:marRight w:val="0"/>
      <w:marTop w:val="0"/>
      <w:marBottom w:val="0"/>
      <w:divBdr>
        <w:top w:val="none" w:sz="0" w:space="0" w:color="auto"/>
        <w:left w:val="none" w:sz="0" w:space="0" w:color="auto"/>
        <w:bottom w:val="none" w:sz="0" w:space="0" w:color="auto"/>
        <w:right w:val="none" w:sz="0" w:space="0" w:color="auto"/>
      </w:divBdr>
    </w:div>
    <w:div w:id="984242583">
      <w:bodyDiv w:val="1"/>
      <w:marLeft w:val="0"/>
      <w:marRight w:val="0"/>
      <w:marTop w:val="0"/>
      <w:marBottom w:val="0"/>
      <w:divBdr>
        <w:top w:val="none" w:sz="0" w:space="0" w:color="auto"/>
        <w:left w:val="none" w:sz="0" w:space="0" w:color="auto"/>
        <w:bottom w:val="none" w:sz="0" w:space="0" w:color="auto"/>
        <w:right w:val="none" w:sz="0" w:space="0" w:color="auto"/>
      </w:divBdr>
    </w:div>
    <w:div w:id="991565937">
      <w:bodyDiv w:val="1"/>
      <w:marLeft w:val="0"/>
      <w:marRight w:val="0"/>
      <w:marTop w:val="0"/>
      <w:marBottom w:val="0"/>
      <w:divBdr>
        <w:top w:val="none" w:sz="0" w:space="0" w:color="auto"/>
        <w:left w:val="none" w:sz="0" w:space="0" w:color="auto"/>
        <w:bottom w:val="none" w:sz="0" w:space="0" w:color="auto"/>
        <w:right w:val="none" w:sz="0" w:space="0" w:color="auto"/>
      </w:divBdr>
    </w:div>
    <w:div w:id="1068648100">
      <w:bodyDiv w:val="1"/>
      <w:marLeft w:val="0"/>
      <w:marRight w:val="0"/>
      <w:marTop w:val="0"/>
      <w:marBottom w:val="0"/>
      <w:divBdr>
        <w:top w:val="none" w:sz="0" w:space="0" w:color="auto"/>
        <w:left w:val="none" w:sz="0" w:space="0" w:color="auto"/>
        <w:bottom w:val="none" w:sz="0" w:space="0" w:color="auto"/>
        <w:right w:val="none" w:sz="0" w:space="0" w:color="auto"/>
      </w:divBdr>
    </w:div>
    <w:div w:id="1091658247">
      <w:bodyDiv w:val="1"/>
      <w:marLeft w:val="0"/>
      <w:marRight w:val="0"/>
      <w:marTop w:val="0"/>
      <w:marBottom w:val="0"/>
      <w:divBdr>
        <w:top w:val="none" w:sz="0" w:space="0" w:color="auto"/>
        <w:left w:val="none" w:sz="0" w:space="0" w:color="auto"/>
        <w:bottom w:val="none" w:sz="0" w:space="0" w:color="auto"/>
        <w:right w:val="none" w:sz="0" w:space="0" w:color="auto"/>
      </w:divBdr>
    </w:div>
    <w:div w:id="1131283709">
      <w:bodyDiv w:val="1"/>
      <w:marLeft w:val="0"/>
      <w:marRight w:val="0"/>
      <w:marTop w:val="0"/>
      <w:marBottom w:val="0"/>
      <w:divBdr>
        <w:top w:val="none" w:sz="0" w:space="0" w:color="auto"/>
        <w:left w:val="none" w:sz="0" w:space="0" w:color="auto"/>
        <w:bottom w:val="none" w:sz="0" w:space="0" w:color="auto"/>
        <w:right w:val="none" w:sz="0" w:space="0" w:color="auto"/>
      </w:divBdr>
    </w:div>
    <w:div w:id="1132937815">
      <w:bodyDiv w:val="1"/>
      <w:marLeft w:val="0"/>
      <w:marRight w:val="0"/>
      <w:marTop w:val="0"/>
      <w:marBottom w:val="0"/>
      <w:divBdr>
        <w:top w:val="none" w:sz="0" w:space="0" w:color="auto"/>
        <w:left w:val="none" w:sz="0" w:space="0" w:color="auto"/>
        <w:bottom w:val="none" w:sz="0" w:space="0" w:color="auto"/>
        <w:right w:val="none" w:sz="0" w:space="0" w:color="auto"/>
      </w:divBdr>
    </w:div>
    <w:div w:id="1133325555">
      <w:bodyDiv w:val="1"/>
      <w:marLeft w:val="0"/>
      <w:marRight w:val="0"/>
      <w:marTop w:val="0"/>
      <w:marBottom w:val="0"/>
      <w:divBdr>
        <w:top w:val="none" w:sz="0" w:space="0" w:color="auto"/>
        <w:left w:val="none" w:sz="0" w:space="0" w:color="auto"/>
        <w:bottom w:val="none" w:sz="0" w:space="0" w:color="auto"/>
        <w:right w:val="none" w:sz="0" w:space="0" w:color="auto"/>
      </w:divBdr>
    </w:div>
    <w:div w:id="1172062131">
      <w:bodyDiv w:val="1"/>
      <w:marLeft w:val="0"/>
      <w:marRight w:val="0"/>
      <w:marTop w:val="0"/>
      <w:marBottom w:val="0"/>
      <w:divBdr>
        <w:top w:val="none" w:sz="0" w:space="0" w:color="auto"/>
        <w:left w:val="none" w:sz="0" w:space="0" w:color="auto"/>
        <w:bottom w:val="none" w:sz="0" w:space="0" w:color="auto"/>
        <w:right w:val="none" w:sz="0" w:space="0" w:color="auto"/>
      </w:divBdr>
    </w:div>
    <w:div w:id="1181118879">
      <w:bodyDiv w:val="1"/>
      <w:marLeft w:val="0"/>
      <w:marRight w:val="0"/>
      <w:marTop w:val="0"/>
      <w:marBottom w:val="0"/>
      <w:divBdr>
        <w:top w:val="none" w:sz="0" w:space="0" w:color="auto"/>
        <w:left w:val="none" w:sz="0" w:space="0" w:color="auto"/>
        <w:bottom w:val="none" w:sz="0" w:space="0" w:color="auto"/>
        <w:right w:val="none" w:sz="0" w:space="0" w:color="auto"/>
      </w:divBdr>
    </w:div>
    <w:div w:id="1207066327">
      <w:bodyDiv w:val="1"/>
      <w:marLeft w:val="0"/>
      <w:marRight w:val="0"/>
      <w:marTop w:val="0"/>
      <w:marBottom w:val="0"/>
      <w:divBdr>
        <w:top w:val="none" w:sz="0" w:space="0" w:color="auto"/>
        <w:left w:val="none" w:sz="0" w:space="0" w:color="auto"/>
        <w:bottom w:val="none" w:sz="0" w:space="0" w:color="auto"/>
        <w:right w:val="none" w:sz="0" w:space="0" w:color="auto"/>
      </w:divBdr>
    </w:div>
    <w:div w:id="1210844581">
      <w:bodyDiv w:val="1"/>
      <w:marLeft w:val="0"/>
      <w:marRight w:val="0"/>
      <w:marTop w:val="0"/>
      <w:marBottom w:val="0"/>
      <w:divBdr>
        <w:top w:val="none" w:sz="0" w:space="0" w:color="auto"/>
        <w:left w:val="none" w:sz="0" w:space="0" w:color="auto"/>
        <w:bottom w:val="none" w:sz="0" w:space="0" w:color="auto"/>
        <w:right w:val="none" w:sz="0" w:space="0" w:color="auto"/>
      </w:divBdr>
    </w:div>
    <w:div w:id="1226917720">
      <w:bodyDiv w:val="1"/>
      <w:marLeft w:val="0"/>
      <w:marRight w:val="0"/>
      <w:marTop w:val="0"/>
      <w:marBottom w:val="0"/>
      <w:divBdr>
        <w:top w:val="none" w:sz="0" w:space="0" w:color="auto"/>
        <w:left w:val="none" w:sz="0" w:space="0" w:color="auto"/>
        <w:bottom w:val="none" w:sz="0" w:space="0" w:color="auto"/>
        <w:right w:val="none" w:sz="0" w:space="0" w:color="auto"/>
      </w:divBdr>
    </w:div>
    <w:div w:id="1230000126">
      <w:bodyDiv w:val="1"/>
      <w:marLeft w:val="0"/>
      <w:marRight w:val="0"/>
      <w:marTop w:val="0"/>
      <w:marBottom w:val="0"/>
      <w:divBdr>
        <w:top w:val="none" w:sz="0" w:space="0" w:color="auto"/>
        <w:left w:val="none" w:sz="0" w:space="0" w:color="auto"/>
        <w:bottom w:val="none" w:sz="0" w:space="0" w:color="auto"/>
        <w:right w:val="none" w:sz="0" w:space="0" w:color="auto"/>
      </w:divBdr>
    </w:div>
    <w:div w:id="1234510682">
      <w:bodyDiv w:val="1"/>
      <w:marLeft w:val="0"/>
      <w:marRight w:val="0"/>
      <w:marTop w:val="0"/>
      <w:marBottom w:val="0"/>
      <w:divBdr>
        <w:top w:val="none" w:sz="0" w:space="0" w:color="auto"/>
        <w:left w:val="none" w:sz="0" w:space="0" w:color="auto"/>
        <w:bottom w:val="none" w:sz="0" w:space="0" w:color="auto"/>
        <w:right w:val="none" w:sz="0" w:space="0" w:color="auto"/>
      </w:divBdr>
    </w:div>
    <w:div w:id="1244993500">
      <w:bodyDiv w:val="1"/>
      <w:marLeft w:val="0"/>
      <w:marRight w:val="0"/>
      <w:marTop w:val="0"/>
      <w:marBottom w:val="0"/>
      <w:divBdr>
        <w:top w:val="none" w:sz="0" w:space="0" w:color="auto"/>
        <w:left w:val="none" w:sz="0" w:space="0" w:color="auto"/>
        <w:bottom w:val="none" w:sz="0" w:space="0" w:color="auto"/>
        <w:right w:val="none" w:sz="0" w:space="0" w:color="auto"/>
      </w:divBdr>
    </w:div>
    <w:div w:id="1245526867">
      <w:bodyDiv w:val="1"/>
      <w:marLeft w:val="0"/>
      <w:marRight w:val="0"/>
      <w:marTop w:val="0"/>
      <w:marBottom w:val="0"/>
      <w:divBdr>
        <w:top w:val="none" w:sz="0" w:space="0" w:color="auto"/>
        <w:left w:val="none" w:sz="0" w:space="0" w:color="auto"/>
        <w:bottom w:val="none" w:sz="0" w:space="0" w:color="auto"/>
        <w:right w:val="none" w:sz="0" w:space="0" w:color="auto"/>
      </w:divBdr>
    </w:div>
    <w:div w:id="1267419316">
      <w:bodyDiv w:val="1"/>
      <w:marLeft w:val="0"/>
      <w:marRight w:val="0"/>
      <w:marTop w:val="0"/>
      <w:marBottom w:val="0"/>
      <w:divBdr>
        <w:top w:val="none" w:sz="0" w:space="0" w:color="auto"/>
        <w:left w:val="none" w:sz="0" w:space="0" w:color="auto"/>
        <w:bottom w:val="none" w:sz="0" w:space="0" w:color="auto"/>
        <w:right w:val="none" w:sz="0" w:space="0" w:color="auto"/>
      </w:divBdr>
    </w:div>
    <w:div w:id="1302804852">
      <w:bodyDiv w:val="1"/>
      <w:marLeft w:val="0"/>
      <w:marRight w:val="0"/>
      <w:marTop w:val="0"/>
      <w:marBottom w:val="0"/>
      <w:divBdr>
        <w:top w:val="none" w:sz="0" w:space="0" w:color="auto"/>
        <w:left w:val="none" w:sz="0" w:space="0" w:color="auto"/>
        <w:bottom w:val="none" w:sz="0" w:space="0" w:color="auto"/>
        <w:right w:val="none" w:sz="0" w:space="0" w:color="auto"/>
      </w:divBdr>
    </w:div>
    <w:div w:id="1312445557">
      <w:bodyDiv w:val="1"/>
      <w:marLeft w:val="0"/>
      <w:marRight w:val="0"/>
      <w:marTop w:val="0"/>
      <w:marBottom w:val="0"/>
      <w:divBdr>
        <w:top w:val="none" w:sz="0" w:space="0" w:color="auto"/>
        <w:left w:val="none" w:sz="0" w:space="0" w:color="auto"/>
        <w:bottom w:val="none" w:sz="0" w:space="0" w:color="auto"/>
        <w:right w:val="none" w:sz="0" w:space="0" w:color="auto"/>
      </w:divBdr>
    </w:div>
    <w:div w:id="1326666392">
      <w:bodyDiv w:val="1"/>
      <w:marLeft w:val="0"/>
      <w:marRight w:val="0"/>
      <w:marTop w:val="0"/>
      <w:marBottom w:val="0"/>
      <w:divBdr>
        <w:top w:val="none" w:sz="0" w:space="0" w:color="auto"/>
        <w:left w:val="none" w:sz="0" w:space="0" w:color="auto"/>
        <w:bottom w:val="none" w:sz="0" w:space="0" w:color="auto"/>
        <w:right w:val="none" w:sz="0" w:space="0" w:color="auto"/>
      </w:divBdr>
    </w:div>
    <w:div w:id="1344473691">
      <w:bodyDiv w:val="1"/>
      <w:marLeft w:val="0"/>
      <w:marRight w:val="0"/>
      <w:marTop w:val="0"/>
      <w:marBottom w:val="0"/>
      <w:divBdr>
        <w:top w:val="none" w:sz="0" w:space="0" w:color="auto"/>
        <w:left w:val="none" w:sz="0" w:space="0" w:color="auto"/>
        <w:bottom w:val="none" w:sz="0" w:space="0" w:color="auto"/>
        <w:right w:val="none" w:sz="0" w:space="0" w:color="auto"/>
      </w:divBdr>
    </w:div>
    <w:div w:id="1374422713">
      <w:bodyDiv w:val="1"/>
      <w:marLeft w:val="0"/>
      <w:marRight w:val="0"/>
      <w:marTop w:val="0"/>
      <w:marBottom w:val="0"/>
      <w:divBdr>
        <w:top w:val="none" w:sz="0" w:space="0" w:color="auto"/>
        <w:left w:val="none" w:sz="0" w:space="0" w:color="auto"/>
        <w:bottom w:val="none" w:sz="0" w:space="0" w:color="auto"/>
        <w:right w:val="none" w:sz="0" w:space="0" w:color="auto"/>
      </w:divBdr>
    </w:div>
    <w:div w:id="1447968575">
      <w:bodyDiv w:val="1"/>
      <w:marLeft w:val="0"/>
      <w:marRight w:val="0"/>
      <w:marTop w:val="0"/>
      <w:marBottom w:val="0"/>
      <w:divBdr>
        <w:top w:val="none" w:sz="0" w:space="0" w:color="auto"/>
        <w:left w:val="none" w:sz="0" w:space="0" w:color="auto"/>
        <w:bottom w:val="none" w:sz="0" w:space="0" w:color="auto"/>
        <w:right w:val="none" w:sz="0" w:space="0" w:color="auto"/>
      </w:divBdr>
    </w:div>
    <w:div w:id="1468430418">
      <w:bodyDiv w:val="1"/>
      <w:marLeft w:val="0"/>
      <w:marRight w:val="0"/>
      <w:marTop w:val="0"/>
      <w:marBottom w:val="0"/>
      <w:divBdr>
        <w:top w:val="none" w:sz="0" w:space="0" w:color="auto"/>
        <w:left w:val="none" w:sz="0" w:space="0" w:color="auto"/>
        <w:bottom w:val="none" w:sz="0" w:space="0" w:color="auto"/>
        <w:right w:val="none" w:sz="0" w:space="0" w:color="auto"/>
      </w:divBdr>
    </w:div>
    <w:div w:id="1525443232">
      <w:bodyDiv w:val="1"/>
      <w:marLeft w:val="0"/>
      <w:marRight w:val="0"/>
      <w:marTop w:val="0"/>
      <w:marBottom w:val="0"/>
      <w:divBdr>
        <w:top w:val="none" w:sz="0" w:space="0" w:color="auto"/>
        <w:left w:val="none" w:sz="0" w:space="0" w:color="auto"/>
        <w:bottom w:val="none" w:sz="0" w:space="0" w:color="auto"/>
        <w:right w:val="none" w:sz="0" w:space="0" w:color="auto"/>
      </w:divBdr>
    </w:div>
    <w:div w:id="1655067023">
      <w:bodyDiv w:val="1"/>
      <w:marLeft w:val="0"/>
      <w:marRight w:val="0"/>
      <w:marTop w:val="0"/>
      <w:marBottom w:val="0"/>
      <w:divBdr>
        <w:top w:val="none" w:sz="0" w:space="0" w:color="auto"/>
        <w:left w:val="none" w:sz="0" w:space="0" w:color="auto"/>
        <w:bottom w:val="none" w:sz="0" w:space="0" w:color="auto"/>
        <w:right w:val="none" w:sz="0" w:space="0" w:color="auto"/>
      </w:divBdr>
    </w:div>
    <w:div w:id="1670012908">
      <w:bodyDiv w:val="1"/>
      <w:marLeft w:val="0"/>
      <w:marRight w:val="0"/>
      <w:marTop w:val="0"/>
      <w:marBottom w:val="0"/>
      <w:divBdr>
        <w:top w:val="none" w:sz="0" w:space="0" w:color="auto"/>
        <w:left w:val="none" w:sz="0" w:space="0" w:color="auto"/>
        <w:bottom w:val="none" w:sz="0" w:space="0" w:color="auto"/>
        <w:right w:val="none" w:sz="0" w:space="0" w:color="auto"/>
      </w:divBdr>
    </w:div>
    <w:div w:id="1716661861">
      <w:bodyDiv w:val="1"/>
      <w:marLeft w:val="0"/>
      <w:marRight w:val="0"/>
      <w:marTop w:val="0"/>
      <w:marBottom w:val="0"/>
      <w:divBdr>
        <w:top w:val="none" w:sz="0" w:space="0" w:color="auto"/>
        <w:left w:val="none" w:sz="0" w:space="0" w:color="auto"/>
        <w:bottom w:val="none" w:sz="0" w:space="0" w:color="auto"/>
        <w:right w:val="none" w:sz="0" w:space="0" w:color="auto"/>
      </w:divBdr>
    </w:div>
    <w:div w:id="1725760502">
      <w:bodyDiv w:val="1"/>
      <w:marLeft w:val="0"/>
      <w:marRight w:val="0"/>
      <w:marTop w:val="0"/>
      <w:marBottom w:val="0"/>
      <w:divBdr>
        <w:top w:val="none" w:sz="0" w:space="0" w:color="auto"/>
        <w:left w:val="none" w:sz="0" w:space="0" w:color="auto"/>
        <w:bottom w:val="none" w:sz="0" w:space="0" w:color="auto"/>
        <w:right w:val="none" w:sz="0" w:space="0" w:color="auto"/>
      </w:divBdr>
    </w:div>
    <w:div w:id="1730684085">
      <w:bodyDiv w:val="1"/>
      <w:marLeft w:val="0"/>
      <w:marRight w:val="0"/>
      <w:marTop w:val="0"/>
      <w:marBottom w:val="0"/>
      <w:divBdr>
        <w:top w:val="none" w:sz="0" w:space="0" w:color="auto"/>
        <w:left w:val="none" w:sz="0" w:space="0" w:color="auto"/>
        <w:bottom w:val="none" w:sz="0" w:space="0" w:color="auto"/>
        <w:right w:val="none" w:sz="0" w:space="0" w:color="auto"/>
      </w:divBdr>
    </w:div>
    <w:div w:id="17399381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sChild>
        <w:div w:id="1928417863">
          <w:marLeft w:val="0"/>
          <w:marRight w:val="0"/>
          <w:marTop w:val="90"/>
          <w:marBottom w:val="0"/>
          <w:divBdr>
            <w:top w:val="none" w:sz="0" w:space="0" w:color="auto"/>
            <w:left w:val="none" w:sz="0" w:space="0" w:color="auto"/>
            <w:bottom w:val="none" w:sz="0" w:space="0" w:color="auto"/>
            <w:right w:val="none" w:sz="0" w:space="0" w:color="auto"/>
          </w:divBdr>
        </w:div>
        <w:div w:id="2073000127">
          <w:marLeft w:val="0"/>
          <w:marRight w:val="0"/>
          <w:marTop w:val="90"/>
          <w:marBottom w:val="0"/>
          <w:divBdr>
            <w:top w:val="none" w:sz="0" w:space="0" w:color="auto"/>
            <w:left w:val="none" w:sz="0" w:space="0" w:color="auto"/>
            <w:bottom w:val="none" w:sz="0" w:space="0" w:color="auto"/>
            <w:right w:val="none" w:sz="0" w:space="0" w:color="auto"/>
          </w:divBdr>
        </w:div>
      </w:divsChild>
    </w:div>
    <w:div w:id="1748458124">
      <w:bodyDiv w:val="1"/>
      <w:marLeft w:val="0"/>
      <w:marRight w:val="0"/>
      <w:marTop w:val="0"/>
      <w:marBottom w:val="0"/>
      <w:divBdr>
        <w:top w:val="none" w:sz="0" w:space="0" w:color="auto"/>
        <w:left w:val="none" w:sz="0" w:space="0" w:color="auto"/>
        <w:bottom w:val="none" w:sz="0" w:space="0" w:color="auto"/>
        <w:right w:val="none" w:sz="0" w:space="0" w:color="auto"/>
      </w:divBdr>
    </w:div>
    <w:div w:id="1789465340">
      <w:bodyDiv w:val="1"/>
      <w:marLeft w:val="0"/>
      <w:marRight w:val="0"/>
      <w:marTop w:val="0"/>
      <w:marBottom w:val="0"/>
      <w:divBdr>
        <w:top w:val="none" w:sz="0" w:space="0" w:color="auto"/>
        <w:left w:val="none" w:sz="0" w:space="0" w:color="auto"/>
        <w:bottom w:val="none" w:sz="0" w:space="0" w:color="auto"/>
        <w:right w:val="none" w:sz="0" w:space="0" w:color="auto"/>
      </w:divBdr>
    </w:div>
    <w:div w:id="1831367623">
      <w:bodyDiv w:val="1"/>
      <w:marLeft w:val="0"/>
      <w:marRight w:val="0"/>
      <w:marTop w:val="0"/>
      <w:marBottom w:val="0"/>
      <w:divBdr>
        <w:top w:val="none" w:sz="0" w:space="0" w:color="auto"/>
        <w:left w:val="none" w:sz="0" w:space="0" w:color="auto"/>
        <w:bottom w:val="none" w:sz="0" w:space="0" w:color="auto"/>
        <w:right w:val="none" w:sz="0" w:space="0" w:color="auto"/>
      </w:divBdr>
    </w:div>
    <w:div w:id="1856653798">
      <w:bodyDiv w:val="1"/>
      <w:marLeft w:val="0"/>
      <w:marRight w:val="0"/>
      <w:marTop w:val="0"/>
      <w:marBottom w:val="0"/>
      <w:divBdr>
        <w:top w:val="none" w:sz="0" w:space="0" w:color="auto"/>
        <w:left w:val="none" w:sz="0" w:space="0" w:color="auto"/>
        <w:bottom w:val="none" w:sz="0" w:space="0" w:color="auto"/>
        <w:right w:val="none" w:sz="0" w:space="0" w:color="auto"/>
      </w:divBdr>
    </w:div>
    <w:div w:id="1858889534">
      <w:bodyDiv w:val="1"/>
      <w:marLeft w:val="0"/>
      <w:marRight w:val="0"/>
      <w:marTop w:val="0"/>
      <w:marBottom w:val="0"/>
      <w:divBdr>
        <w:top w:val="none" w:sz="0" w:space="0" w:color="auto"/>
        <w:left w:val="none" w:sz="0" w:space="0" w:color="auto"/>
        <w:bottom w:val="none" w:sz="0" w:space="0" w:color="auto"/>
        <w:right w:val="none" w:sz="0" w:space="0" w:color="auto"/>
      </w:divBdr>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1892155769">
      <w:bodyDiv w:val="1"/>
      <w:marLeft w:val="0"/>
      <w:marRight w:val="0"/>
      <w:marTop w:val="0"/>
      <w:marBottom w:val="0"/>
      <w:divBdr>
        <w:top w:val="none" w:sz="0" w:space="0" w:color="auto"/>
        <w:left w:val="none" w:sz="0" w:space="0" w:color="auto"/>
        <w:bottom w:val="none" w:sz="0" w:space="0" w:color="auto"/>
        <w:right w:val="none" w:sz="0" w:space="0" w:color="auto"/>
      </w:divBdr>
    </w:div>
    <w:div w:id="1899123701">
      <w:bodyDiv w:val="1"/>
      <w:marLeft w:val="0"/>
      <w:marRight w:val="0"/>
      <w:marTop w:val="0"/>
      <w:marBottom w:val="0"/>
      <w:divBdr>
        <w:top w:val="none" w:sz="0" w:space="0" w:color="auto"/>
        <w:left w:val="none" w:sz="0" w:space="0" w:color="auto"/>
        <w:bottom w:val="none" w:sz="0" w:space="0" w:color="auto"/>
        <w:right w:val="none" w:sz="0" w:space="0" w:color="auto"/>
      </w:divBdr>
    </w:div>
    <w:div w:id="1922257438">
      <w:bodyDiv w:val="1"/>
      <w:marLeft w:val="0"/>
      <w:marRight w:val="0"/>
      <w:marTop w:val="0"/>
      <w:marBottom w:val="0"/>
      <w:divBdr>
        <w:top w:val="none" w:sz="0" w:space="0" w:color="auto"/>
        <w:left w:val="none" w:sz="0" w:space="0" w:color="auto"/>
        <w:bottom w:val="none" w:sz="0" w:space="0" w:color="auto"/>
        <w:right w:val="none" w:sz="0" w:space="0" w:color="auto"/>
      </w:divBdr>
      <w:divsChild>
        <w:div w:id="859275242">
          <w:marLeft w:val="0"/>
          <w:marRight w:val="0"/>
          <w:marTop w:val="90"/>
          <w:marBottom w:val="0"/>
          <w:divBdr>
            <w:top w:val="none" w:sz="0" w:space="0" w:color="auto"/>
            <w:left w:val="none" w:sz="0" w:space="0" w:color="auto"/>
            <w:bottom w:val="none" w:sz="0" w:space="0" w:color="auto"/>
            <w:right w:val="none" w:sz="0" w:space="0" w:color="auto"/>
          </w:divBdr>
        </w:div>
        <w:div w:id="1092238785">
          <w:marLeft w:val="0"/>
          <w:marRight w:val="0"/>
          <w:marTop w:val="90"/>
          <w:marBottom w:val="0"/>
          <w:divBdr>
            <w:top w:val="none" w:sz="0" w:space="0" w:color="auto"/>
            <w:left w:val="none" w:sz="0" w:space="0" w:color="auto"/>
            <w:bottom w:val="none" w:sz="0" w:space="0" w:color="auto"/>
            <w:right w:val="none" w:sz="0" w:space="0" w:color="auto"/>
          </w:divBdr>
        </w:div>
      </w:divsChild>
    </w:div>
    <w:div w:id="1922985389">
      <w:bodyDiv w:val="1"/>
      <w:marLeft w:val="0"/>
      <w:marRight w:val="0"/>
      <w:marTop w:val="0"/>
      <w:marBottom w:val="0"/>
      <w:divBdr>
        <w:top w:val="none" w:sz="0" w:space="0" w:color="auto"/>
        <w:left w:val="none" w:sz="0" w:space="0" w:color="auto"/>
        <w:bottom w:val="none" w:sz="0" w:space="0" w:color="auto"/>
        <w:right w:val="none" w:sz="0" w:space="0" w:color="auto"/>
      </w:divBdr>
    </w:div>
    <w:div w:id="1946032263">
      <w:bodyDiv w:val="1"/>
      <w:marLeft w:val="0"/>
      <w:marRight w:val="0"/>
      <w:marTop w:val="0"/>
      <w:marBottom w:val="0"/>
      <w:divBdr>
        <w:top w:val="none" w:sz="0" w:space="0" w:color="auto"/>
        <w:left w:val="none" w:sz="0" w:space="0" w:color="auto"/>
        <w:bottom w:val="none" w:sz="0" w:space="0" w:color="auto"/>
        <w:right w:val="none" w:sz="0" w:space="0" w:color="auto"/>
      </w:divBdr>
    </w:div>
    <w:div w:id="1960795930">
      <w:bodyDiv w:val="1"/>
      <w:marLeft w:val="0"/>
      <w:marRight w:val="0"/>
      <w:marTop w:val="0"/>
      <w:marBottom w:val="0"/>
      <w:divBdr>
        <w:top w:val="none" w:sz="0" w:space="0" w:color="auto"/>
        <w:left w:val="none" w:sz="0" w:space="0" w:color="auto"/>
        <w:bottom w:val="none" w:sz="0" w:space="0" w:color="auto"/>
        <w:right w:val="none" w:sz="0" w:space="0" w:color="auto"/>
      </w:divBdr>
    </w:div>
    <w:div w:id="1979064542">
      <w:bodyDiv w:val="1"/>
      <w:marLeft w:val="0"/>
      <w:marRight w:val="0"/>
      <w:marTop w:val="0"/>
      <w:marBottom w:val="0"/>
      <w:divBdr>
        <w:top w:val="none" w:sz="0" w:space="0" w:color="auto"/>
        <w:left w:val="none" w:sz="0" w:space="0" w:color="auto"/>
        <w:bottom w:val="none" w:sz="0" w:space="0" w:color="auto"/>
        <w:right w:val="none" w:sz="0" w:space="0" w:color="auto"/>
      </w:divBdr>
    </w:div>
    <w:div w:id="2002463147">
      <w:bodyDiv w:val="1"/>
      <w:marLeft w:val="0"/>
      <w:marRight w:val="0"/>
      <w:marTop w:val="0"/>
      <w:marBottom w:val="0"/>
      <w:divBdr>
        <w:top w:val="none" w:sz="0" w:space="0" w:color="auto"/>
        <w:left w:val="none" w:sz="0" w:space="0" w:color="auto"/>
        <w:bottom w:val="none" w:sz="0" w:space="0" w:color="auto"/>
        <w:right w:val="none" w:sz="0" w:space="0" w:color="auto"/>
      </w:divBdr>
    </w:div>
    <w:div w:id="2051344192">
      <w:bodyDiv w:val="1"/>
      <w:marLeft w:val="0"/>
      <w:marRight w:val="0"/>
      <w:marTop w:val="0"/>
      <w:marBottom w:val="0"/>
      <w:divBdr>
        <w:top w:val="none" w:sz="0" w:space="0" w:color="auto"/>
        <w:left w:val="none" w:sz="0" w:space="0" w:color="auto"/>
        <w:bottom w:val="none" w:sz="0" w:space="0" w:color="auto"/>
        <w:right w:val="none" w:sz="0" w:space="0" w:color="auto"/>
      </w:divBdr>
    </w:div>
    <w:div w:id="2069841086">
      <w:bodyDiv w:val="1"/>
      <w:marLeft w:val="0"/>
      <w:marRight w:val="0"/>
      <w:marTop w:val="0"/>
      <w:marBottom w:val="0"/>
      <w:divBdr>
        <w:top w:val="none" w:sz="0" w:space="0" w:color="auto"/>
        <w:left w:val="none" w:sz="0" w:space="0" w:color="auto"/>
        <w:bottom w:val="none" w:sz="0" w:space="0" w:color="auto"/>
        <w:right w:val="none" w:sz="0" w:space="0" w:color="auto"/>
      </w:divBdr>
    </w:div>
    <w:div w:id="2077970357">
      <w:bodyDiv w:val="1"/>
      <w:marLeft w:val="0"/>
      <w:marRight w:val="0"/>
      <w:marTop w:val="0"/>
      <w:marBottom w:val="0"/>
      <w:divBdr>
        <w:top w:val="none" w:sz="0" w:space="0" w:color="auto"/>
        <w:left w:val="none" w:sz="0" w:space="0" w:color="auto"/>
        <w:bottom w:val="none" w:sz="0" w:space="0" w:color="auto"/>
        <w:right w:val="none" w:sz="0" w:space="0" w:color="auto"/>
      </w:divBdr>
    </w:div>
    <w:div w:id="2082482144">
      <w:bodyDiv w:val="1"/>
      <w:marLeft w:val="0"/>
      <w:marRight w:val="0"/>
      <w:marTop w:val="0"/>
      <w:marBottom w:val="0"/>
      <w:divBdr>
        <w:top w:val="none" w:sz="0" w:space="0" w:color="auto"/>
        <w:left w:val="none" w:sz="0" w:space="0" w:color="auto"/>
        <w:bottom w:val="none" w:sz="0" w:space="0" w:color="auto"/>
        <w:right w:val="none" w:sz="0" w:space="0" w:color="auto"/>
      </w:divBdr>
    </w:div>
    <w:div w:id="2124764833">
      <w:bodyDiv w:val="1"/>
      <w:marLeft w:val="0"/>
      <w:marRight w:val="0"/>
      <w:marTop w:val="0"/>
      <w:marBottom w:val="0"/>
      <w:divBdr>
        <w:top w:val="none" w:sz="0" w:space="0" w:color="auto"/>
        <w:left w:val="none" w:sz="0" w:space="0" w:color="auto"/>
        <w:bottom w:val="none" w:sz="0" w:space="0" w:color="auto"/>
        <w:right w:val="none" w:sz="0" w:space="0" w:color="auto"/>
      </w:divBdr>
    </w:div>
    <w:div w:id="2126387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shareholdercommons.com/case-studies/labor-and-inequality-case-stud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vingwage.mit.edu/" TargetMode="External"/><Relationship Id="rId13" Type="http://schemas.openxmlformats.org/officeDocument/2006/relationships/hyperlink" Target="https://www.census.gov/data/tables/time-series/demo/popest/2020s-state-total.html" TargetMode="External"/><Relationship Id="rId18" Type="http://schemas.openxmlformats.org/officeDocument/2006/relationships/hyperlink" Target="https://www.unepfi.org/fileadmin/documents/universal_ownership_full.pdf" TargetMode="External"/><Relationship Id="rId26" Type="http://schemas.openxmlformats.org/officeDocument/2006/relationships/hyperlink" Target="https://www.imf.org/en/publications/fm/issues/2017/10/05/fiscal-monitor-october-2017" TargetMode="External"/><Relationship Id="rId3" Type="http://schemas.openxmlformats.org/officeDocument/2006/relationships/hyperlink" Target="https://www.sec.gov/ix?doc=/Archives/edgar/data/0000104169/000010416924000078/wmt-20240424.htm" TargetMode="External"/><Relationship Id="rId21" Type="http://schemas.openxmlformats.org/officeDocument/2006/relationships/hyperlink" Target="https://www.epi.org/publication/inequalitys-drag-on-aggregate-demand/" TargetMode="External"/><Relationship Id="rId7" Type="http://schemas.openxmlformats.org/officeDocument/2006/relationships/hyperlink" Target="https://www.retaildive.com/news/walmart-lowers-starting-wage-workers/693071/" TargetMode="External"/><Relationship Id="rId12" Type="http://schemas.openxmlformats.org/officeDocument/2006/relationships/hyperlink" Target="https://corporate.walmart.com/askwalmart/how-many-people-work-at-walmart" TargetMode="External"/><Relationship Id="rId17" Type="http://schemas.openxmlformats.org/officeDocument/2006/relationships/hyperlink" Target="https://www.oecd.org/content/dam/oecd/en/publications/reports/2014/06/oecd-yearbook-2014_g1g45233/observer-v2013-5-en.pdf" TargetMode="External"/><Relationship Id="rId25" Type="http://schemas.openxmlformats.org/officeDocument/2006/relationships/hyperlink" Target="https://tacklinginequality.org/files/introduction.pdf" TargetMode="External"/><Relationship Id="rId2" Type="http://schemas.openxmlformats.org/officeDocument/2006/relationships/hyperlink" Target="https://doi.org/10.1146/annurev-resource-111820-032827" TargetMode="External"/><Relationship Id="rId16" Type="http://schemas.openxmlformats.org/officeDocument/2006/relationships/hyperlink" Target="https://www.theatlantic.com/economy/archive/2024/12/walmart-prices-poverty-economy/681122/" TargetMode="External"/><Relationship Id="rId20" Type="http://schemas.openxmlformats.org/officeDocument/2006/relationships/hyperlink" Target="https://theshareholdercommons.com/case-studies/labor-and-inequality-case-study/" TargetMode="External"/><Relationship Id="rId29" Type="http://schemas.openxmlformats.org/officeDocument/2006/relationships/hyperlink" Target="https://doi.org/10.1377/hlthaff.2017.1233" TargetMode="External"/><Relationship Id="rId1" Type="http://schemas.openxmlformats.org/officeDocument/2006/relationships/hyperlink" Target="https://tacklinginequality.org/files/introduction.pdf" TargetMode="External"/><Relationship Id="rId6" Type="http://schemas.openxmlformats.org/officeDocument/2006/relationships/hyperlink" Target="https://corporate.walmart.com/askwalmart/how-much-do-walmart-associates-make" TargetMode="External"/><Relationship Id="rId11" Type="http://schemas.openxmlformats.org/officeDocument/2006/relationships/hyperlink" Target="https://companiesmarketcap.com/largest-companies-by-number-of-employees/" TargetMode="External"/><Relationship Id="rId24" Type="http://schemas.openxmlformats.org/officeDocument/2006/relationships/hyperlink" Target="https://ir.citi.com/%2FPRxPvgNWu319AU1ajGf%2BsKbjJjBJSaTOSdw2DF4xynPwFB8a2jV1FaA3Idy7vY59bOtN2lxVQM=" TargetMode="External"/><Relationship Id="rId5" Type="http://schemas.openxmlformats.org/officeDocument/2006/relationships/hyperlink" Target="https://fortune.com/2024/08/26/many-us-workers-dont-make-living-wage-women-people-of-color/" TargetMode="External"/><Relationship Id="rId15" Type="http://schemas.openxmlformats.org/officeDocument/2006/relationships/hyperlink" Target="https://democrats-edworkforce.house.gov/imo/media/doc/WalMartReport-May2013.pdf" TargetMode="External"/><Relationship Id="rId23" Type="http://schemas.openxmlformats.org/officeDocument/2006/relationships/hyperlink" Target="https://doi.org/10.24148/wp2021-11" TargetMode="External"/><Relationship Id="rId28" Type="http://schemas.openxmlformats.org/officeDocument/2006/relationships/hyperlink" Target="https://doi.org/10.1001/jama.2023.0367" TargetMode="External"/><Relationship Id="rId10" Type="http://schemas.openxmlformats.org/officeDocument/2006/relationships/hyperlink" Target="https://doi.org/10.1146/annurev-resource-111820-032827" TargetMode="External"/><Relationship Id="rId19" Type="http://schemas.openxmlformats.org/officeDocument/2006/relationships/hyperlink" Target="https://archive.fortune.com/magazines/fortune/fortune_archive/2001/12/10/314691/index.htm" TargetMode="External"/><Relationship Id="rId31" Type="http://schemas.openxmlformats.org/officeDocument/2006/relationships/hyperlink" Target="https://www.schroders.com/en-ch/ch/professional/insights/sustainex-quantifying-the-hidden-costs-of-companies-social-impacts/" TargetMode="External"/><Relationship Id="rId4" Type="http://schemas.openxmlformats.org/officeDocument/2006/relationships/hyperlink" Target="https://livingwage.mit.edu/pages/about" TargetMode="External"/><Relationship Id="rId9" Type="http://schemas.openxmlformats.org/officeDocument/2006/relationships/hyperlink" Target="https://corporate.walmart.com/content/dam/corporate/documents/purpose/culture-diversity-equity-and-inclusion-report/2024-annual-belonging-diversity-equity-and-inclusion-annual-report.pdf" TargetMode="External"/><Relationship Id="rId14" Type="http://schemas.openxmlformats.org/officeDocument/2006/relationships/hyperlink" Target="https://doi.org/10.2139/ssrn.3524078" TargetMode="External"/><Relationship Id="rId22" Type="http://schemas.openxmlformats.org/officeDocument/2006/relationships/hyperlink" Target="https://www.epi.org/publication/secular-stagnation/" TargetMode="External"/><Relationship Id="rId27" Type="http://schemas.openxmlformats.org/officeDocument/2006/relationships/hyperlink" Target="https://www.pionline.com/sponsored-content/facing-hard-truths-material-risk-rising-inequality" TargetMode="External"/><Relationship Id="rId30" Type="http://schemas.openxmlformats.org/officeDocument/2006/relationships/hyperlink" Target="https://www.gao.gov/assets/gao-21-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82F2FB474A2489C3BE8F48CB99D2D" ma:contentTypeVersion="18" ma:contentTypeDescription="Create a new document." ma:contentTypeScope="" ma:versionID="b3ef04ad6f73ff4a5384586c2779eefc">
  <xsd:schema xmlns:xsd="http://www.w3.org/2001/XMLSchema" xmlns:xs="http://www.w3.org/2001/XMLSchema" xmlns:p="http://schemas.microsoft.com/office/2006/metadata/properties" xmlns:ns2="81bcf745-36d6-4f26-b83b-a443601feb6c" xmlns:ns3="ee877019-a197-4621-9038-97c04520bae1" targetNamespace="http://schemas.microsoft.com/office/2006/metadata/properties" ma:root="true" ma:fieldsID="75d41c35aac5502090ff4af46c15d369" ns2:_="" ns3:_="">
    <xsd:import namespace="81bcf745-36d6-4f26-b83b-a443601feb6c"/>
    <xsd:import namespace="ee877019-a197-4621-9038-97c04520b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cf745-36d6-4f26-b83b-a443601fe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6e11e-a9cd-4c92-90b0-1c19699ea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7019-a197-4621-9038-97c04520b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310e2a-6e86-4c50-8751-12efabe1e307}" ma:internalName="TaxCatchAll" ma:showField="CatchAllData" ma:web="ee877019-a197-4621-9038-97c04520b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877019-a197-4621-9038-97c04520bae1" xsi:nil="true"/>
    <lcf76f155ced4ddcb4097134ff3c332f xmlns="81bcf745-36d6-4f26-b83b-a443601feb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b:Source>
    <b:Tag>Luk21</b:Tag>
    <b:SourceType>Book</b:SourceType>
    <b:Guid>{5231149A-7242-3241-8F17-93AF7F57BF02}</b:Guid>
    <b:Author>
      <b:Author>
        <b:NameList>
          <b:Person>
            <b:Last>Lukomnik</b:Last>
            <b:First>Jon</b:First>
            <b:Middle>and James P. Hawley</b:Middle>
          </b:Person>
        </b:NameList>
      </b:Author>
    </b:Author>
    <b:Title>Moving Beyond Modern Portfolio Theory: Investing that Matters</b:Title>
    <b:Year>2021</b:Year>
    <b:Publisher>Routledge</b:Publisher>
    <b:RefOrder>1</b:RefOrder>
  </b:Source>
</b:Sources>
</file>

<file path=customXml/itemProps1.xml><?xml version="1.0" encoding="utf-8"?>
<ds:datastoreItem xmlns:ds="http://schemas.openxmlformats.org/officeDocument/2006/customXml" ds:itemID="{806E0CB6-9943-4C0A-A038-38227E1045BE}">
  <ds:schemaRefs>
    <ds:schemaRef ds:uri="http://schemas.microsoft.com/sharepoint/v3/contenttype/forms"/>
  </ds:schemaRefs>
</ds:datastoreItem>
</file>

<file path=customXml/itemProps2.xml><?xml version="1.0" encoding="utf-8"?>
<ds:datastoreItem xmlns:ds="http://schemas.openxmlformats.org/officeDocument/2006/customXml" ds:itemID="{B6574B7F-6391-4656-917B-83993B8EC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cf745-36d6-4f26-b83b-a443601feb6c"/>
    <ds:schemaRef ds:uri="ee877019-a197-4621-9038-97c04520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96968-6492-4485-B323-6AD2F27288CD}">
  <ds:schemaRefs>
    <ds:schemaRef ds:uri="http://schemas.microsoft.com/office/2006/metadata/properties"/>
    <ds:schemaRef ds:uri="http://schemas.microsoft.com/office/infopath/2007/PartnerControls"/>
    <ds:schemaRef ds:uri="ee877019-a197-4621-9038-97c04520bae1"/>
    <ds:schemaRef ds:uri="81bcf745-36d6-4f26-b83b-a443601feb6c"/>
  </ds:schemaRefs>
</ds:datastoreItem>
</file>

<file path=customXml/itemProps4.xml><?xml version="1.0" encoding="utf-8"?>
<ds:datastoreItem xmlns:ds="http://schemas.openxmlformats.org/officeDocument/2006/customXml" ds:itemID="{72BFE606-F494-40BE-914E-35D24EDA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3191</Words>
  <Characters>18189</Characters>
  <Application>Microsoft Office Word</Application>
  <DocSecurity>0</DocSecurity>
  <Lines>151</Lines>
  <Paragraphs>42</Paragraphs>
  <ScaleCrop>false</ScaleCrop>
  <Company/>
  <LinksUpToDate>false</LinksUpToDate>
  <CharactersWithSpaces>21338</CharactersWithSpaces>
  <SharedDoc>false</SharedDoc>
  <HLinks>
    <vt:vector size="186" baseType="variant">
      <vt:variant>
        <vt:i4>2293874</vt:i4>
      </vt:variant>
      <vt:variant>
        <vt:i4>0</vt:i4>
      </vt:variant>
      <vt:variant>
        <vt:i4>0</vt:i4>
      </vt:variant>
      <vt:variant>
        <vt:i4>5</vt:i4>
      </vt:variant>
      <vt:variant>
        <vt:lpwstr>https://theshareholdercommons.com/case-studies/labor-and-inequality-case-study/</vt:lpwstr>
      </vt:variant>
      <vt:variant>
        <vt:lpwstr/>
      </vt:variant>
      <vt:variant>
        <vt:i4>6226015</vt:i4>
      </vt:variant>
      <vt:variant>
        <vt:i4>87</vt:i4>
      </vt:variant>
      <vt:variant>
        <vt:i4>0</vt:i4>
      </vt:variant>
      <vt:variant>
        <vt:i4>5</vt:i4>
      </vt:variant>
      <vt:variant>
        <vt:lpwstr>https://www.schroders.com/en-ch/ch/professional/insights/sustainex-quantifying-the-hidden-costs-of-companies-social-impacts/</vt:lpwstr>
      </vt:variant>
      <vt:variant>
        <vt:lpwstr/>
      </vt:variant>
      <vt:variant>
        <vt:i4>1441811</vt:i4>
      </vt:variant>
      <vt:variant>
        <vt:i4>84</vt:i4>
      </vt:variant>
      <vt:variant>
        <vt:i4>0</vt:i4>
      </vt:variant>
      <vt:variant>
        <vt:i4>5</vt:i4>
      </vt:variant>
      <vt:variant>
        <vt:lpwstr>https://www.gao.gov/assets/gao-21-45.pdf</vt:lpwstr>
      </vt:variant>
      <vt:variant>
        <vt:lpwstr/>
      </vt:variant>
      <vt:variant>
        <vt:i4>6094938</vt:i4>
      </vt:variant>
      <vt:variant>
        <vt:i4>81</vt:i4>
      </vt:variant>
      <vt:variant>
        <vt:i4>0</vt:i4>
      </vt:variant>
      <vt:variant>
        <vt:i4>5</vt:i4>
      </vt:variant>
      <vt:variant>
        <vt:lpwstr>https://doi.org/10.1377/hlthaff.2017.1233</vt:lpwstr>
      </vt:variant>
      <vt:variant>
        <vt:lpwstr/>
      </vt:variant>
      <vt:variant>
        <vt:i4>3735671</vt:i4>
      </vt:variant>
      <vt:variant>
        <vt:i4>78</vt:i4>
      </vt:variant>
      <vt:variant>
        <vt:i4>0</vt:i4>
      </vt:variant>
      <vt:variant>
        <vt:i4>5</vt:i4>
      </vt:variant>
      <vt:variant>
        <vt:lpwstr>https://doi.org/10.1001/jama.2023.0367</vt:lpwstr>
      </vt:variant>
      <vt:variant>
        <vt:lpwstr/>
      </vt:variant>
      <vt:variant>
        <vt:i4>262157</vt:i4>
      </vt:variant>
      <vt:variant>
        <vt:i4>75</vt:i4>
      </vt:variant>
      <vt:variant>
        <vt:i4>0</vt:i4>
      </vt:variant>
      <vt:variant>
        <vt:i4>5</vt:i4>
      </vt:variant>
      <vt:variant>
        <vt:lpwstr>https://www.pionline.com/sponsored-content/facing-hard-truths-material-risk-rising-inequality</vt:lpwstr>
      </vt:variant>
      <vt:variant>
        <vt:lpwstr/>
      </vt:variant>
      <vt:variant>
        <vt:i4>4522059</vt:i4>
      </vt:variant>
      <vt:variant>
        <vt:i4>72</vt:i4>
      </vt:variant>
      <vt:variant>
        <vt:i4>0</vt:i4>
      </vt:variant>
      <vt:variant>
        <vt:i4>5</vt:i4>
      </vt:variant>
      <vt:variant>
        <vt:lpwstr>https://www.imf.org/en/publications/fm/issues/2017/10/05/fiscal-monitor-october-2017</vt:lpwstr>
      </vt:variant>
      <vt:variant>
        <vt:lpwstr/>
      </vt:variant>
      <vt:variant>
        <vt:i4>6029320</vt:i4>
      </vt:variant>
      <vt:variant>
        <vt:i4>69</vt:i4>
      </vt:variant>
      <vt:variant>
        <vt:i4>0</vt:i4>
      </vt:variant>
      <vt:variant>
        <vt:i4>5</vt:i4>
      </vt:variant>
      <vt:variant>
        <vt:lpwstr>https://tacklinginequality.org/files/introduction.pdf</vt:lpwstr>
      </vt:variant>
      <vt:variant>
        <vt:lpwstr/>
      </vt:variant>
      <vt:variant>
        <vt:i4>983127</vt:i4>
      </vt:variant>
      <vt:variant>
        <vt:i4>66</vt:i4>
      </vt:variant>
      <vt:variant>
        <vt:i4>0</vt:i4>
      </vt:variant>
      <vt:variant>
        <vt:i4>5</vt:i4>
      </vt:variant>
      <vt:variant>
        <vt:lpwstr>https://ir.citi.com/%2FPRxPvgNWu319AU1ajGf%2BsKbjJjBJSaTOSdw2DF4xynPwFB8a2jV1FaA3Idy7vY59bOtN2lxVQM=</vt:lpwstr>
      </vt:variant>
      <vt:variant>
        <vt:lpwstr/>
      </vt:variant>
      <vt:variant>
        <vt:i4>2883632</vt:i4>
      </vt:variant>
      <vt:variant>
        <vt:i4>63</vt:i4>
      </vt:variant>
      <vt:variant>
        <vt:i4>0</vt:i4>
      </vt:variant>
      <vt:variant>
        <vt:i4>5</vt:i4>
      </vt:variant>
      <vt:variant>
        <vt:lpwstr>https://www.epi.org/publication/secular-stagnation/</vt:lpwstr>
      </vt:variant>
      <vt:variant>
        <vt:lpwstr/>
      </vt:variant>
      <vt:variant>
        <vt:i4>4390941</vt:i4>
      </vt:variant>
      <vt:variant>
        <vt:i4>60</vt:i4>
      </vt:variant>
      <vt:variant>
        <vt:i4>0</vt:i4>
      </vt:variant>
      <vt:variant>
        <vt:i4>5</vt:i4>
      </vt:variant>
      <vt:variant>
        <vt:lpwstr>https://www.epi.org/publication/inequalitys-drag-on-aggregate-demand/</vt:lpwstr>
      </vt:variant>
      <vt:variant>
        <vt:lpwstr>:~:text=By%20redistributing%20income%20from%20lower,about%201.5%25%20of%20GDP%20annually</vt:lpwstr>
      </vt:variant>
      <vt:variant>
        <vt:i4>2293874</vt:i4>
      </vt:variant>
      <vt:variant>
        <vt:i4>57</vt:i4>
      </vt:variant>
      <vt:variant>
        <vt:i4>0</vt:i4>
      </vt:variant>
      <vt:variant>
        <vt:i4>5</vt:i4>
      </vt:variant>
      <vt:variant>
        <vt:lpwstr>https://theshareholdercommons.com/case-studies/labor-and-inequality-case-study/</vt:lpwstr>
      </vt:variant>
      <vt:variant>
        <vt:lpwstr/>
      </vt:variant>
      <vt:variant>
        <vt:i4>3604493</vt:i4>
      </vt:variant>
      <vt:variant>
        <vt:i4>54</vt:i4>
      </vt:variant>
      <vt:variant>
        <vt:i4>0</vt:i4>
      </vt:variant>
      <vt:variant>
        <vt:i4>5</vt:i4>
      </vt:variant>
      <vt:variant>
        <vt:lpwstr>https://archive.fortune.com/magazines/fortune/fortune_archive/2001/12/10/314691/index.htm</vt:lpwstr>
      </vt:variant>
      <vt:variant>
        <vt:lpwstr/>
      </vt:variant>
      <vt:variant>
        <vt:i4>6619173</vt:i4>
      </vt:variant>
      <vt:variant>
        <vt:i4>51</vt:i4>
      </vt:variant>
      <vt:variant>
        <vt:i4>0</vt:i4>
      </vt:variant>
      <vt:variant>
        <vt:i4>5</vt:i4>
      </vt:variant>
      <vt:variant>
        <vt:lpwstr>https://www.unepfi.org/fileadmin/documents/universal_ownership_full.pdf</vt:lpwstr>
      </vt:variant>
      <vt:variant>
        <vt:lpwstr/>
      </vt:variant>
      <vt:variant>
        <vt:i4>851989</vt:i4>
      </vt:variant>
      <vt:variant>
        <vt:i4>48</vt:i4>
      </vt:variant>
      <vt:variant>
        <vt:i4>0</vt:i4>
      </vt:variant>
      <vt:variant>
        <vt:i4>5</vt:i4>
      </vt:variant>
      <vt:variant>
        <vt:lpwstr>https://www.oecd.org/economy/growth-and-inequality-close-relationship.htm</vt:lpwstr>
      </vt:variant>
      <vt:variant>
        <vt:lpwstr/>
      </vt:variant>
      <vt:variant>
        <vt:i4>6815786</vt:i4>
      </vt:variant>
      <vt:variant>
        <vt:i4>45</vt:i4>
      </vt:variant>
      <vt:variant>
        <vt:i4>0</vt:i4>
      </vt:variant>
      <vt:variant>
        <vt:i4>5</vt:i4>
      </vt:variant>
      <vt:variant>
        <vt:lpwstr>https://www.theatlantic.com/economy/archive/2024/12/walmart-prices-poverty-economy/681122/</vt:lpwstr>
      </vt:variant>
      <vt:variant>
        <vt:lpwstr/>
      </vt:variant>
      <vt:variant>
        <vt:i4>2752574</vt:i4>
      </vt:variant>
      <vt:variant>
        <vt:i4>42</vt:i4>
      </vt:variant>
      <vt:variant>
        <vt:i4>0</vt:i4>
      </vt:variant>
      <vt:variant>
        <vt:i4>5</vt:i4>
      </vt:variant>
      <vt:variant>
        <vt:lpwstr>https://democrats-edworkforce.house.gov/imo/media/doc/WalMartReport-May2013.pdf</vt:lpwstr>
      </vt:variant>
      <vt:variant>
        <vt:lpwstr/>
      </vt:variant>
      <vt:variant>
        <vt:i4>458827</vt:i4>
      </vt:variant>
      <vt:variant>
        <vt:i4>39</vt:i4>
      </vt:variant>
      <vt:variant>
        <vt:i4>0</vt:i4>
      </vt:variant>
      <vt:variant>
        <vt:i4>5</vt:i4>
      </vt:variant>
      <vt:variant>
        <vt:lpwstr>https://doi.org/10.2139/ssrn.3524078</vt:lpwstr>
      </vt:variant>
      <vt:variant>
        <vt:lpwstr/>
      </vt:variant>
      <vt:variant>
        <vt:i4>196687</vt:i4>
      </vt:variant>
      <vt:variant>
        <vt:i4>36</vt:i4>
      </vt:variant>
      <vt:variant>
        <vt:i4>0</vt:i4>
      </vt:variant>
      <vt:variant>
        <vt:i4>5</vt:i4>
      </vt:variant>
      <vt:variant>
        <vt:lpwstr>https://www.census.gov/data/tables/time-series/demo/popest/2020s-state-total.html</vt:lpwstr>
      </vt:variant>
      <vt:variant>
        <vt:lpwstr/>
      </vt:variant>
      <vt:variant>
        <vt:i4>5767251</vt:i4>
      </vt:variant>
      <vt:variant>
        <vt:i4>33</vt:i4>
      </vt:variant>
      <vt:variant>
        <vt:i4>0</vt:i4>
      </vt:variant>
      <vt:variant>
        <vt:i4>5</vt:i4>
      </vt:variant>
      <vt:variant>
        <vt:lpwstr>https://corporate.walmart.com/askwalmart/how-many-people-work-at-walmart</vt:lpwstr>
      </vt:variant>
      <vt:variant>
        <vt:lpwstr/>
      </vt:variant>
      <vt:variant>
        <vt:i4>3080277</vt:i4>
      </vt:variant>
      <vt:variant>
        <vt:i4>30</vt:i4>
      </vt:variant>
      <vt:variant>
        <vt:i4>0</vt:i4>
      </vt:variant>
      <vt:variant>
        <vt:i4>5</vt:i4>
      </vt:variant>
      <vt:variant>
        <vt:lpwstr>https://companiesmarketcap.com/largest-companies-by-number-of-employees/</vt:lpwstr>
      </vt:variant>
      <vt:variant>
        <vt:lpwstr>google_vignette</vt:lpwstr>
      </vt:variant>
      <vt:variant>
        <vt:i4>7995493</vt:i4>
      </vt:variant>
      <vt:variant>
        <vt:i4>27</vt:i4>
      </vt:variant>
      <vt:variant>
        <vt:i4>0</vt:i4>
      </vt:variant>
      <vt:variant>
        <vt:i4>5</vt:i4>
      </vt:variant>
      <vt:variant>
        <vt:lpwstr>https://doi.org/10.1146/annurev-resource-111820-032827</vt:lpwstr>
      </vt:variant>
      <vt:variant>
        <vt:lpwstr/>
      </vt:variant>
      <vt:variant>
        <vt:i4>2752562</vt:i4>
      </vt:variant>
      <vt:variant>
        <vt:i4>24</vt:i4>
      </vt:variant>
      <vt:variant>
        <vt:i4>0</vt:i4>
      </vt:variant>
      <vt:variant>
        <vt:i4>5</vt:i4>
      </vt:variant>
      <vt:variant>
        <vt:lpwstr>https://corporate.walmart.com/content/dam/corporate/documents/purpose/culture-diversity-equity-and-inclusion-report/2024-annual-belonging-diversity-equity-and-inclusion-annual-report.pdf</vt:lpwstr>
      </vt:variant>
      <vt:variant>
        <vt:lpwstr/>
      </vt:variant>
      <vt:variant>
        <vt:i4>8060969</vt:i4>
      </vt:variant>
      <vt:variant>
        <vt:i4>21</vt:i4>
      </vt:variant>
      <vt:variant>
        <vt:i4>0</vt:i4>
      </vt:variant>
      <vt:variant>
        <vt:i4>5</vt:i4>
      </vt:variant>
      <vt:variant>
        <vt:lpwstr>https://livingwage.mit.edu/</vt:lpwstr>
      </vt:variant>
      <vt:variant>
        <vt:lpwstr/>
      </vt:variant>
      <vt:variant>
        <vt:i4>1114203</vt:i4>
      </vt:variant>
      <vt:variant>
        <vt:i4>18</vt:i4>
      </vt:variant>
      <vt:variant>
        <vt:i4>0</vt:i4>
      </vt:variant>
      <vt:variant>
        <vt:i4>5</vt:i4>
      </vt:variant>
      <vt:variant>
        <vt:lpwstr>https://www.retaildive.com/news/walmart-lowers-starting-wage-workers/693071/</vt:lpwstr>
      </vt:variant>
      <vt:variant>
        <vt:lpwstr/>
      </vt:variant>
      <vt:variant>
        <vt:i4>4849744</vt:i4>
      </vt:variant>
      <vt:variant>
        <vt:i4>15</vt:i4>
      </vt:variant>
      <vt:variant>
        <vt:i4>0</vt:i4>
      </vt:variant>
      <vt:variant>
        <vt:i4>5</vt:i4>
      </vt:variant>
      <vt:variant>
        <vt:lpwstr>https://corporate.walmart.com/askwalmart/how-much-do-walmart-associates-make</vt:lpwstr>
      </vt:variant>
      <vt:variant>
        <vt:lpwstr/>
      </vt:variant>
      <vt:variant>
        <vt:i4>2490404</vt:i4>
      </vt:variant>
      <vt:variant>
        <vt:i4>12</vt:i4>
      </vt:variant>
      <vt:variant>
        <vt:i4>0</vt:i4>
      </vt:variant>
      <vt:variant>
        <vt:i4>5</vt:i4>
      </vt:variant>
      <vt:variant>
        <vt:lpwstr>https://fortune.com/2024/08/26/many-us-workers-dont-make-living-wage-women-people-of-color/</vt:lpwstr>
      </vt:variant>
      <vt:variant>
        <vt:lpwstr/>
      </vt:variant>
      <vt:variant>
        <vt:i4>6619194</vt:i4>
      </vt:variant>
      <vt:variant>
        <vt:i4>9</vt:i4>
      </vt:variant>
      <vt:variant>
        <vt:i4>0</vt:i4>
      </vt:variant>
      <vt:variant>
        <vt:i4>5</vt:i4>
      </vt:variant>
      <vt:variant>
        <vt:lpwstr>https://livingwage.mit.edu/pages/about</vt:lpwstr>
      </vt:variant>
      <vt:variant>
        <vt:lpwstr/>
      </vt:variant>
      <vt:variant>
        <vt:i4>2293821</vt:i4>
      </vt:variant>
      <vt:variant>
        <vt:i4>6</vt:i4>
      </vt:variant>
      <vt:variant>
        <vt:i4>0</vt:i4>
      </vt:variant>
      <vt:variant>
        <vt:i4>5</vt:i4>
      </vt:variant>
      <vt:variant>
        <vt:lpwstr>https://www.sec.gov/ix?doc=/Archives/edgar/data/0000104169/000010416924000078/wmt-20240424.htm</vt:lpwstr>
      </vt:variant>
      <vt:variant>
        <vt:lpwstr/>
      </vt:variant>
      <vt:variant>
        <vt:i4>7995493</vt:i4>
      </vt:variant>
      <vt:variant>
        <vt:i4>3</vt:i4>
      </vt:variant>
      <vt:variant>
        <vt:i4>0</vt:i4>
      </vt:variant>
      <vt:variant>
        <vt:i4>5</vt:i4>
      </vt:variant>
      <vt:variant>
        <vt:lpwstr>https://doi.org/10.1146/annurev-resource-111820-032827</vt:lpwstr>
      </vt:variant>
      <vt:variant>
        <vt:lpwstr/>
      </vt:variant>
      <vt:variant>
        <vt:i4>6029320</vt:i4>
      </vt:variant>
      <vt:variant>
        <vt:i4>0</vt:i4>
      </vt:variant>
      <vt:variant>
        <vt:i4>0</vt:i4>
      </vt:variant>
      <vt:variant>
        <vt:i4>5</vt:i4>
      </vt:variant>
      <vt:variant>
        <vt:lpwstr>https://tacklinginequality.org/files/introduction.pdf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 Murphy</dc:creator>
  <cp:keywords/>
  <dc:description/>
  <cp:lastModifiedBy>Sara E. Murphy</cp:lastModifiedBy>
  <cp:revision>14</cp:revision>
  <cp:lastPrinted>2022-03-03T20:08:00Z</cp:lastPrinted>
  <dcterms:created xsi:type="dcterms:W3CDTF">2025-04-30T15:31:00Z</dcterms:created>
  <dcterms:modified xsi:type="dcterms:W3CDTF">2025-04-30T16:18:00Z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0x0101009F282F2FB474A2489C3BE8F48CB99D2D</vt:lpwstr>
  </property>
  <property fmtid="{D5CDD505-2E9C-101B-9397-08002B2CF9AE}" pid="3" name="MediaServiceImageTags">
    <vt:lpwstr/>
  </property>
</Properties>
</file>