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E2C0" w14:textId="2D61C897" w:rsidR="00861ADF" w:rsidRDefault="008E67C1" w:rsidP="00372382">
      <w:pPr>
        <w:spacing w:after="0" w:line="240" w:lineRule="auto"/>
        <w:rPr>
          <w:rFonts w:ascii="Times New Roman" w:eastAsia="Calibri" w:hAnsi="Times New Roman" w:cs="Times New Roman"/>
          <w:sz w:val="24"/>
          <w:szCs w:val="24"/>
        </w:rPr>
      </w:pPr>
      <w:r>
        <w:rPr>
          <w:rFonts w:eastAsia="Times New Roman"/>
          <w:noProof/>
        </w:rPr>
        <w:drawing>
          <wp:inline distT="0" distB="0" distL="0" distR="0" wp14:anchorId="1B5905C6" wp14:editId="1B5E693D">
            <wp:extent cx="5943600" cy="1188720"/>
            <wp:effectExtent l="0" t="0" r="0" b="0"/>
            <wp:docPr id="169073399" name="Picture 1" descr="A blue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3399" name="Picture 1" descr="A blue sign with yellow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439F364F" w14:textId="23B0214C" w:rsidR="001F01F8" w:rsidRPr="00F11E8B" w:rsidRDefault="001F01F8" w:rsidP="001F01F8">
      <w:pPr>
        <w:rPr>
          <w:rFonts w:ascii="Times New Roman" w:hAnsi="Times New Roman"/>
          <w:sz w:val="24"/>
          <w:szCs w:val="40"/>
        </w:rPr>
      </w:pPr>
      <w:r w:rsidRPr="00F11E8B">
        <w:rPr>
          <w:rFonts w:ascii="Times New Roman" w:hAnsi="Times New Roman"/>
          <w:b/>
          <w:sz w:val="24"/>
          <w:szCs w:val="40"/>
        </w:rPr>
        <w:t>Notice of Exempt Solicitation Pursuant to Rule 14a-103</w:t>
      </w:r>
      <w:r w:rsidRPr="00F11E8B">
        <w:rPr>
          <w:rFonts w:ascii="Times New Roman" w:hAnsi="Times New Roman"/>
          <w:b/>
          <w:sz w:val="24"/>
          <w:szCs w:val="40"/>
        </w:rPr>
        <w:br/>
      </w:r>
      <w:r w:rsidRPr="00F11E8B">
        <w:rPr>
          <w:rFonts w:ascii="Times New Roman" w:hAnsi="Times New Roman"/>
          <w:sz w:val="24"/>
          <w:szCs w:val="40"/>
        </w:rPr>
        <w:t xml:space="preserve">Name of Registrant: </w:t>
      </w:r>
      <w:r w:rsidR="005B1049">
        <w:rPr>
          <w:rFonts w:ascii="Times New Roman" w:hAnsi="Times New Roman"/>
          <w:color w:val="000000"/>
          <w:sz w:val="24"/>
          <w:szCs w:val="24"/>
        </w:rPr>
        <w:t>RTX Corp.</w:t>
      </w:r>
      <w:r w:rsidRPr="003C6F7F">
        <w:rPr>
          <w:rFonts w:ascii="Times New Roman" w:hAnsi="Times New Roman"/>
          <w:color w:val="000000"/>
          <w:sz w:val="24"/>
          <w:szCs w:val="24"/>
        </w:rPr>
        <w:t xml:space="preserve"> </w:t>
      </w:r>
      <w:r w:rsidRPr="00F11E8B">
        <w:rPr>
          <w:rFonts w:ascii="Times New Roman" w:hAnsi="Times New Roman"/>
          <w:color w:val="000000"/>
          <w:sz w:val="24"/>
          <w:szCs w:val="24"/>
        </w:rPr>
        <w:t>(</w:t>
      </w:r>
      <w:r w:rsidR="005B1049">
        <w:rPr>
          <w:rFonts w:ascii="Times New Roman" w:hAnsi="Times New Roman"/>
          <w:color w:val="000000"/>
          <w:sz w:val="24"/>
          <w:szCs w:val="24"/>
        </w:rPr>
        <w:t>RTX</w:t>
      </w:r>
      <w:r w:rsidRPr="00F11E8B">
        <w:rPr>
          <w:rFonts w:ascii="Times New Roman" w:hAnsi="Times New Roman"/>
          <w:color w:val="000000"/>
          <w:sz w:val="24"/>
          <w:szCs w:val="24"/>
        </w:rPr>
        <w:t>)</w:t>
      </w:r>
      <w:r w:rsidRPr="00F11E8B">
        <w:rPr>
          <w:rFonts w:ascii="Times New Roman" w:hAnsi="Times New Roman"/>
          <w:sz w:val="24"/>
          <w:szCs w:val="40"/>
        </w:rPr>
        <w:br/>
        <w:t xml:space="preserve">Name of person relying on exemption: John Chevedden, </w:t>
      </w:r>
      <w:r>
        <w:rPr>
          <w:rFonts w:ascii="Times New Roman" w:hAnsi="Times New Roman"/>
          <w:color w:val="000000"/>
          <w:sz w:val="24"/>
          <w:szCs w:val="24"/>
        </w:rPr>
        <w:t xml:space="preserve">RTX </w:t>
      </w:r>
      <w:r w:rsidRPr="00F11E8B">
        <w:rPr>
          <w:rFonts w:ascii="Times New Roman" w:hAnsi="Times New Roman"/>
          <w:color w:val="000000"/>
          <w:sz w:val="24"/>
          <w:szCs w:val="24"/>
        </w:rPr>
        <w:t>S</w:t>
      </w:r>
      <w:r>
        <w:rPr>
          <w:rFonts w:ascii="Times New Roman" w:hAnsi="Times New Roman"/>
          <w:color w:val="000000"/>
          <w:sz w:val="24"/>
          <w:szCs w:val="24"/>
        </w:rPr>
        <w:t>hareowner</w:t>
      </w:r>
      <w:r w:rsidRPr="00F11E8B">
        <w:rPr>
          <w:rFonts w:ascii="Times New Roman" w:hAnsi="Times New Roman"/>
          <w:sz w:val="24"/>
          <w:szCs w:val="40"/>
        </w:rPr>
        <w:br/>
        <w:t>Address of persons relying on exemption: POB 2673, Redondo Beach, CA 90278</w:t>
      </w:r>
      <w:r w:rsidRPr="00F11E8B">
        <w:rPr>
          <w:rFonts w:ascii="Times New Roman" w:hAnsi="Times New Roman"/>
          <w:sz w:val="24"/>
          <w:szCs w:val="40"/>
        </w:rPr>
        <w:br/>
      </w:r>
    </w:p>
    <w:p w14:paraId="4DF343D3" w14:textId="77777777" w:rsidR="001F01F8" w:rsidRPr="00F11E8B" w:rsidRDefault="001F01F8" w:rsidP="001F01F8">
      <w:pPr>
        <w:rPr>
          <w:rFonts w:ascii="Times New Roman" w:hAnsi="Times New Roman"/>
          <w:sz w:val="24"/>
          <w:szCs w:val="40"/>
        </w:rPr>
      </w:pPr>
      <w:r w:rsidRPr="00F11E8B">
        <w:rPr>
          <w:rFonts w:ascii="Times New Roman" w:hAnsi="Times New Roman"/>
          <w:sz w:val="24"/>
          <w:szCs w:val="40"/>
        </w:rPr>
        <w:t>The attached written materials are submitted pursuant to Rule 14a-6(g)(1) promulgated under the Securities Exchange Act of 1934. John Chevedden does not beneficially own more than $5 million of the class of subject securities, and this notice of exempt solicitation is therefore being provided on a voluntary basis.</w:t>
      </w:r>
    </w:p>
    <w:p w14:paraId="087DC84D" w14:textId="77777777" w:rsidR="001F01F8" w:rsidRPr="00F11E8B" w:rsidRDefault="001F01F8" w:rsidP="001F01F8">
      <w:pPr>
        <w:rPr>
          <w:rFonts w:ascii="Times New Roman" w:hAnsi="Times New Roman"/>
          <w:color w:val="000000"/>
          <w:sz w:val="24"/>
          <w:szCs w:val="24"/>
        </w:rPr>
      </w:pPr>
      <w:r w:rsidRPr="00F11E8B">
        <w:rPr>
          <w:rFonts w:ascii="Times New Roman" w:hAnsi="Times New Roman"/>
          <w:color w:val="000000"/>
          <w:sz w:val="24"/>
          <w:szCs w:val="24"/>
        </w:rPr>
        <w:t xml:space="preserve">This is not a solicitation of authority to vote your proxy.  </w:t>
      </w:r>
    </w:p>
    <w:p w14:paraId="5C79F2DC" w14:textId="77777777" w:rsidR="001F01F8" w:rsidRDefault="001F01F8" w:rsidP="001F01F8">
      <w:pPr>
        <w:rPr>
          <w:rFonts w:ascii="Times New Roman" w:hAnsi="Times New Roman"/>
          <w:color w:val="000000"/>
          <w:sz w:val="24"/>
          <w:szCs w:val="24"/>
        </w:rPr>
      </w:pPr>
      <w:r w:rsidRPr="00F11E8B">
        <w:rPr>
          <w:rFonts w:ascii="Times New Roman" w:hAnsi="Times New Roman"/>
          <w:color w:val="000000"/>
          <w:sz w:val="24"/>
          <w:szCs w:val="24"/>
        </w:rPr>
        <w:t>Please DO NOT send me your proxy card; the shareholder is not able to vote your proxies, nor does this communication contemplate such an event.  </w:t>
      </w:r>
      <w:r w:rsidRPr="00F11E8B">
        <w:rPr>
          <w:rFonts w:ascii="Times New Roman" w:hAnsi="Times New Roman"/>
          <w:color w:val="000000"/>
          <w:sz w:val="24"/>
          <w:szCs w:val="24"/>
        </w:rPr>
        <w:br/>
      </w:r>
      <w:r w:rsidRPr="00F11E8B">
        <w:rPr>
          <w:rFonts w:ascii="Times New Roman" w:hAnsi="Times New Roman"/>
          <w:color w:val="000000"/>
          <w:sz w:val="24"/>
          <w:szCs w:val="24"/>
        </w:rPr>
        <w:br/>
        <w:t>The shareholder asks all shareholders to vote by following the procedural instructions provided in the proxy materials. </w:t>
      </w:r>
    </w:p>
    <w:p w14:paraId="0DA6CCA2" w14:textId="77777777" w:rsidR="00663869" w:rsidRPr="00F11E8B" w:rsidRDefault="00663869" w:rsidP="001F01F8">
      <w:pPr>
        <w:rPr>
          <w:rFonts w:ascii="Times New Roman" w:hAnsi="Times New Roman"/>
          <w:color w:val="000000"/>
          <w:sz w:val="24"/>
          <w:szCs w:val="24"/>
        </w:rPr>
      </w:pPr>
    </w:p>
    <w:p w14:paraId="3A71A922" w14:textId="282B4EEA" w:rsidR="00272BA2" w:rsidRPr="00CC602A" w:rsidRDefault="00272BA2" w:rsidP="00272BA2">
      <w:pPr>
        <w:spacing w:after="0" w:line="240" w:lineRule="auto"/>
        <w:rPr>
          <w:rFonts w:ascii="Times New Roman" w:hAnsi="Times New Roman" w:cs="Times New Roman"/>
          <w:sz w:val="24"/>
          <w:szCs w:val="24"/>
        </w:rPr>
      </w:pPr>
      <w:r w:rsidRPr="43A7309B">
        <w:rPr>
          <w:rFonts w:ascii="Times New Roman" w:hAnsi="Times New Roman" w:cs="Times New Roman"/>
          <w:sz w:val="24"/>
          <w:szCs w:val="24"/>
        </w:rPr>
        <w:t xml:space="preserve">To </w:t>
      </w:r>
      <w:r w:rsidR="00B228D6">
        <w:rPr>
          <w:rFonts w:ascii="Times New Roman" w:eastAsia="Calibri" w:hAnsi="Times New Roman" w:cs="Times New Roman"/>
          <w:sz w:val="24"/>
          <w:szCs w:val="24"/>
        </w:rPr>
        <w:t>RTX</w:t>
      </w:r>
      <w:r w:rsidR="00372382">
        <w:rPr>
          <w:rFonts w:ascii="Times New Roman" w:hAnsi="Times New Roman" w:cs="Times New Roman"/>
          <w:sz w:val="24"/>
          <w:szCs w:val="24"/>
        </w:rPr>
        <w:t xml:space="preserve"> </w:t>
      </w:r>
      <w:r w:rsidR="00ED1A2D">
        <w:rPr>
          <w:rFonts w:ascii="Times New Roman" w:hAnsi="Times New Roman" w:cs="Times New Roman"/>
          <w:sz w:val="24"/>
          <w:szCs w:val="24"/>
        </w:rPr>
        <w:t>Shareowner</w:t>
      </w:r>
      <w:r w:rsidRPr="43A7309B">
        <w:rPr>
          <w:rFonts w:ascii="Times New Roman" w:hAnsi="Times New Roman" w:cs="Times New Roman"/>
          <w:sz w:val="24"/>
          <w:szCs w:val="24"/>
        </w:rPr>
        <w:t>s:</w:t>
      </w:r>
    </w:p>
    <w:p w14:paraId="35725073" w14:textId="77777777" w:rsidR="00272BA2" w:rsidRDefault="00272BA2" w:rsidP="00272BA2">
      <w:pPr>
        <w:tabs>
          <w:tab w:val="left" w:pos="720"/>
        </w:tabs>
        <w:spacing w:after="0" w:line="240" w:lineRule="auto"/>
        <w:rPr>
          <w:rFonts w:ascii="Times New Roman" w:hAnsi="Times New Roman" w:cs="Times New Roman"/>
          <w:b/>
          <w:sz w:val="24"/>
          <w:szCs w:val="24"/>
        </w:rPr>
      </w:pPr>
    </w:p>
    <w:p w14:paraId="7D85101C" w14:textId="6CD62A35" w:rsidR="00272BA2" w:rsidRDefault="00272BA2" w:rsidP="00272BA2">
      <w:pPr>
        <w:spacing w:after="0" w:line="240" w:lineRule="auto"/>
        <w:rPr>
          <w:rFonts w:ascii="Times New Roman" w:hAnsi="Times New Roman" w:cs="Times New Roman"/>
          <w:b/>
          <w:bCs/>
          <w:sz w:val="24"/>
          <w:szCs w:val="24"/>
        </w:rPr>
      </w:pPr>
      <w:r w:rsidRPr="00AA213F">
        <w:rPr>
          <w:rFonts w:ascii="Times New Roman" w:eastAsia="Times New Roman" w:hAnsi="Times New Roman" w:cs="Times New Roman"/>
          <w:b/>
          <w:bCs/>
          <w:color w:val="000000" w:themeColor="text1"/>
          <w:sz w:val="24"/>
          <w:szCs w:val="24"/>
        </w:rPr>
        <w:t>I</w:t>
      </w:r>
      <w:r w:rsidRPr="00AA213F">
        <w:rPr>
          <w:rFonts w:ascii="Times New Roman" w:hAnsi="Times New Roman" w:cs="Times New Roman"/>
          <w:b/>
          <w:bCs/>
          <w:sz w:val="24"/>
          <w:szCs w:val="24"/>
        </w:rPr>
        <w:t xml:space="preserve"> urge </w:t>
      </w:r>
      <w:r w:rsidR="00ED1A2D">
        <w:rPr>
          <w:rFonts w:ascii="Times New Roman" w:hAnsi="Times New Roman" w:cs="Times New Roman"/>
          <w:b/>
          <w:bCs/>
          <w:sz w:val="24"/>
          <w:szCs w:val="24"/>
        </w:rPr>
        <w:t>shareowner</w:t>
      </w:r>
      <w:r w:rsidRPr="00AA213F">
        <w:rPr>
          <w:rFonts w:ascii="Times New Roman" w:hAnsi="Times New Roman" w:cs="Times New Roman"/>
          <w:b/>
          <w:bCs/>
          <w:sz w:val="24"/>
          <w:szCs w:val="24"/>
        </w:rPr>
        <w:t>s</w:t>
      </w:r>
      <w:r w:rsidRPr="43A7309B">
        <w:rPr>
          <w:rFonts w:ascii="Times New Roman" w:hAnsi="Times New Roman" w:cs="Times New Roman"/>
          <w:b/>
          <w:bCs/>
          <w:sz w:val="24"/>
          <w:szCs w:val="24"/>
        </w:rPr>
        <w:t xml:space="preserve"> to vote FOR </w:t>
      </w:r>
      <w:r w:rsidR="00372382">
        <w:rPr>
          <w:rFonts w:ascii="Times New Roman" w:hAnsi="Times New Roman" w:cs="Times New Roman"/>
          <w:b/>
          <w:bCs/>
          <w:sz w:val="24"/>
          <w:szCs w:val="24"/>
        </w:rPr>
        <w:t>Proposal</w:t>
      </w:r>
      <w:r w:rsidRPr="43A7309B">
        <w:rPr>
          <w:rFonts w:ascii="Times New Roman" w:hAnsi="Times New Roman" w:cs="Times New Roman"/>
          <w:b/>
          <w:bCs/>
          <w:sz w:val="24"/>
          <w:szCs w:val="24"/>
        </w:rPr>
        <w:t xml:space="preserve"> </w:t>
      </w:r>
      <w:r w:rsidR="004400D0">
        <w:rPr>
          <w:rFonts w:ascii="Times New Roman" w:hAnsi="Times New Roman" w:cs="Times New Roman"/>
          <w:b/>
          <w:bCs/>
          <w:sz w:val="24"/>
          <w:szCs w:val="24"/>
        </w:rPr>
        <w:t>4</w:t>
      </w:r>
      <w:r w:rsidR="00372382">
        <w:rPr>
          <w:rFonts w:ascii="Times New Roman" w:hAnsi="Times New Roman" w:cs="Times New Roman"/>
          <w:b/>
          <w:bCs/>
          <w:sz w:val="24"/>
          <w:szCs w:val="24"/>
        </w:rPr>
        <w:t xml:space="preserve"> </w:t>
      </w:r>
      <w:r w:rsidRPr="43A7309B">
        <w:rPr>
          <w:rFonts w:ascii="Times New Roman" w:hAnsi="Times New Roman" w:cs="Times New Roman"/>
          <w:b/>
          <w:bCs/>
          <w:sz w:val="24"/>
          <w:szCs w:val="24"/>
        </w:rPr>
        <w:t xml:space="preserve">at the </w:t>
      </w:r>
      <w:r w:rsidR="00ED1A2D">
        <w:rPr>
          <w:rFonts w:ascii="Times New Roman" w:hAnsi="Times New Roman" w:cs="Times New Roman"/>
          <w:b/>
          <w:bCs/>
          <w:sz w:val="24"/>
          <w:szCs w:val="24"/>
        </w:rPr>
        <w:t>shareowner</w:t>
      </w:r>
      <w:r w:rsidRPr="43A7309B">
        <w:rPr>
          <w:rFonts w:ascii="Times New Roman" w:hAnsi="Times New Roman" w:cs="Times New Roman"/>
          <w:b/>
          <w:bCs/>
          <w:sz w:val="24"/>
          <w:szCs w:val="24"/>
        </w:rPr>
        <w:t xml:space="preserve"> meeting</w:t>
      </w:r>
      <w:r w:rsidR="00890B7D">
        <w:rPr>
          <w:rFonts w:ascii="Times New Roman" w:hAnsi="Times New Roman" w:cs="Times New Roman"/>
          <w:b/>
          <w:bCs/>
          <w:sz w:val="24"/>
          <w:szCs w:val="24"/>
        </w:rPr>
        <w:t>,</w:t>
      </w:r>
    </w:p>
    <w:p w14:paraId="74C7F52F" w14:textId="77777777" w:rsidR="00272BA2" w:rsidRDefault="00272BA2" w:rsidP="00272BA2">
      <w:pPr>
        <w:spacing w:line="240" w:lineRule="auto"/>
        <w:rPr>
          <w:rFonts w:ascii="Times New Roman" w:hAnsi="Times New Roman" w:cs="Times New Roman"/>
          <w:bCs/>
          <w:sz w:val="24"/>
          <w:szCs w:val="24"/>
        </w:rPr>
      </w:pPr>
    </w:p>
    <w:p w14:paraId="36160562" w14:textId="3B689ABF" w:rsidR="00272BA2" w:rsidRPr="00237E95" w:rsidRDefault="00272BA2" w:rsidP="00272BA2">
      <w:pPr>
        <w:spacing w:line="240" w:lineRule="auto"/>
        <w:rPr>
          <w:rFonts w:ascii="Times New Roman" w:hAnsi="Times New Roman" w:cs="Times New Roman"/>
          <w:b/>
          <w:bCs/>
          <w:sz w:val="24"/>
          <w:szCs w:val="24"/>
        </w:rPr>
      </w:pPr>
      <w:r w:rsidRPr="43A7309B">
        <w:rPr>
          <w:rFonts w:ascii="Times New Roman" w:hAnsi="Times New Roman" w:cs="Times New Roman"/>
          <w:sz w:val="24"/>
          <w:szCs w:val="24"/>
        </w:rPr>
        <w:t xml:space="preserve">The proposal asks </w:t>
      </w:r>
      <w:r w:rsidR="00B228D6">
        <w:rPr>
          <w:rFonts w:ascii="Times New Roman" w:eastAsia="Calibri" w:hAnsi="Times New Roman" w:cs="Times New Roman"/>
          <w:sz w:val="24"/>
          <w:szCs w:val="24"/>
        </w:rPr>
        <w:t>RTX</w:t>
      </w:r>
      <w:r w:rsidR="00994395" w:rsidRPr="43A7309B">
        <w:rPr>
          <w:rFonts w:ascii="Times New Roman" w:hAnsi="Times New Roman" w:cs="Times New Roman"/>
          <w:sz w:val="24"/>
          <w:szCs w:val="24"/>
        </w:rPr>
        <w:t xml:space="preserve"> </w:t>
      </w:r>
      <w:r w:rsidRPr="43A7309B">
        <w:rPr>
          <w:rFonts w:ascii="Times New Roman" w:hAnsi="Times New Roman" w:cs="Times New Roman"/>
          <w:sz w:val="24"/>
          <w:szCs w:val="24"/>
        </w:rPr>
        <w:t>to prepare an annual report on its lobbying.</w:t>
      </w:r>
    </w:p>
    <w:p w14:paraId="52E9B8B3" w14:textId="77777777" w:rsidR="008A28F7" w:rsidRPr="00237E95" w:rsidRDefault="008A28F7" w:rsidP="008A28F7">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9350"/>
      </w:tblGrid>
      <w:tr w:rsidR="008A28F7" w14:paraId="0D98D287" w14:textId="77777777" w:rsidTr="00AE5648">
        <w:tc>
          <w:tcPr>
            <w:tcW w:w="9350" w:type="dxa"/>
          </w:tcPr>
          <w:p w14:paraId="6B5F81A4" w14:textId="649F2EF1" w:rsidR="008A28F7" w:rsidRPr="008A28F7" w:rsidRDefault="008A28F7" w:rsidP="00AE5648">
            <w:pPr>
              <w:pStyle w:val="NormalWeb"/>
              <w:spacing w:before="120" w:beforeAutospacing="0" w:after="0" w:afterAutospacing="0"/>
              <w:ind w:firstLine="720"/>
            </w:pPr>
            <w:r w:rsidRPr="008A28F7">
              <w:rPr>
                <w:b/>
                <w:bCs/>
              </w:rPr>
              <w:t xml:space="preserve">Resolved, </w:t>
            </w:r>
            <w:r w:rsidRPr="008A28F7">
              <w:t xml:space="preserve">the </w:t>
            </w:r>
            <w:r w:rsidR="00ED1A2D">
              <w:t>shareowner</w:t>
            </w:r>
            <w:r w:rsidRPr="008A28F7">
              <w:t xml:space="preserve">s of </w:t>
            </w:r>
            <w:r w:rsidR="00B228D6">
              <w:t>RTX</w:t>
            </w:r>
            <w:r w:rsidRPr="008A28F7">
              <w:t xml:space="preserve"> request the preparation of a report, updated annually, disclosing:</w:t>
            </w:r>
          </w:p>
          <w:p w14:paraId="49FD6FE2" w14:textId="77777777" w:rsidR="008A28F7" w:rsidRPr="008A28F7" w:rsidRDefault="008A28F7" w:rsidP="00AE5648">
            <w:pPr>
              <w:pStyle w:val="NormalWeb"/>
              <w:spacing w:before="120" w:beforeAutospacing="0" w:after="0" w:afterAutospacing="0"/>
              <w:ind w:left="720" w:hanging="360"/>
            </w:pPr>
            <w:r w:rsidRPr="008A28F7">
              <w:t xml:space="preserve">1. </w:t>
            </w:r>
            <w:r w:rsidRPr="008A28F7">
              <w:tab/>
              <w:t xml:space="preserve">Company policy and procedures governing lobbying, both direct and indirect, and grassroots lobbying communications. </w:t>
            </w:r>
          </w:p>
          <w:p w14:paraId="1AB9FBF5" w14:textId="187EFA5A" w:rsidR="008A28F7" w:rsidRPr="008A28F7" w:rsidRDefault="008A28F7" w:rsidP="008A28F7">
            <w:pPr>
              <w:numPr>
                <w:ilvl w:val="0"/>
                <w:numId w:val="17"/>
              </w:numPr>
              <w:spacing w:before="120"/>
              <w:rPr>
                <w:rFonts w:ascii="Times New Roman" w:hAnsi="Times New Roman" w:cs="Times New Roman"/>
                <w:sz w:val="24"/>
                <w:szCs w:val="24"/>
              </w:rPr>
            </w:pPr>
            <w:r w:rsidRPr="008A28F7">
              <w:rPr>
                <w:rFonts w:ascii="Times New Roman" w:hAnsi="Times New Roman" w:cs="Times New Roman"/>
                <w:sz w:val="24"/>
                <w:szCs w:val="24"/>
              </w:rPr>
              <w:t xml:space="preserve">Payments by </w:t>
            </w:r>
            <w:r w:rsidR="00B228D6">
              <w:rPr>
                <w:rFonts w:ascii="Times New Roman" w:hAnsi="Times New Roman" w:cs="Times New Roman"/>
                <w:sz w:val="24"/>
                <w:szCs w:val="24"/>
              </w:rPr>
              <w:t>RTX</w:t>
            </w:r>
            <w:r w:rsidRPr="008A28F7">
              <w:rPr>
                <w:rFonts w:ascii="Times New Roman" w:hAnsi="Times New Roman" w:cs="Times New Roman"/>
                <w:sz w:val="24"/>
                <w:szCs w:val="24"/>
              </w:rPr>
              <w:t xml:space="preserve"> used for (a) direct or indirect lobbying or (b) grassroots lobbying communications, in each case including the amount of the payment and the recipient. </w:t>
            </w:r>
          </w:p>
          <w:p w14:paraId="6C03AB16" w14:textId="5A7EDB2D" w:rsidR="008A28F7" w:rsidRPr="008A28F7" w:rsidRDefault="00B228D6" w:rsidP="008A28F7">
            <w:pPr>
              <w:numPr>
                <w:ilvl w:val="0"/>
                <w:numId w:val="17"/>
              </w:numPr>
              <w:spacing w:before="120"/>
              <w:rPr>
                <w:rFonts w:ascii="Times New Roman" w:hAnsi="Times New Roman" w:cs="Times New Roman"/>
                <w:sz w:val="24"/>
                <w:szCs w:val="24"/>
              </w:rPr>
            </w:pPr>
            <w:r>
              <w:rPr>
                <w:rFonts w:ascii="Times New Roman" w:hAnsi="Times New Roman" w:cs="Times New Roman"/>
                <w:sz w:val="24"/>
                <w:szCs w:val="24"/>
              </w:rPr>
              <w:t>RTX</w:t>
            </w:r>
            <w:r w:rsidR="008A28F7" w:rsidRPr="008A28F7">
              <w:rPr>
                <w:rFonts w:ascii="Times New Roman" w:hAnsi="Times New Roman" w:cs="Times New Roman"/>
                <w:sz w:val="24"/>
                <w:szCs w:val="24"/>
              </w:rPr>
              <w:t>’s membership in and payments to any tax-exempt organization that writes and endorses model legislation.</w:t>
            </w:r>
          </w:p>
          <w:p w14:paraId="63C756F6" w14:textId="77777777" w:rsidR="008A28F7" w:rsidRPr="008A28F7" w:rsidRDefault="008A28F7" w:rsidP="008A28F7">
            <w:pPr>
              <w:numPr>
                <w:ilvl w:val="0"/>
                <w:numId w:val="17"/>
              </w:numPr>
              <w:spacing w:before="120"/>
              <w:rPr>
                <w:rFonts w:ascii="Times New Roman" w:hAnsi="Times New Roman" w:cs="Times New Roman"/>
                <w:sz w:val="24"/>
                <w:szCs w:val="24"/>
              </w:rPr>
            </w:pPr>
            <w:r w:rsidRPr="008A28F7">
              <w:rPr>
                <w:rFonts w:ascii="Times New Roman" w:hAnsi="Times New Roman" w:cs="Times New Roman"/>
                <w:sz w:val="24"/>
                <w:szCs w:val="24"/>
              </w:rPr>
              <w:t>Description of management’s and the Board’s decision-making process and oversight for making payments described above.</w:t>
            </w:r>
          </w:p>
          <w:p w14:paraId="716011D3" w14:textId="77777777" w:rsidR="008A28F7" w:rsidRDefault="008A28F7" w:rsidP="00AE5648">
            <w:pPr>
              <w:rPr>
                <w:rFonts w:ascii="Times New Roman" w:hAnsi="Times New Roman" w:cs="Times New Roman"/>
                <w:bCs/>
                <w:sz w:val="24"/>
                <w:szCs w:val="24"/>
              </w:rPr>
            </w:pPr>
          </w:p>
        </w:tc>
      </w:tr>
    </w:tbl>
    <w:p w14:paraId="3AD136B9" w14:textId="77777777" w:rsidR="008A28F7" w:rsidRPr="006C0CE1" w:rsidRDefault="008A28F7" w:rsidP="008A28F7">
      <w:pPr>
        <w:tabs>
          <w:tab w:val="left" w:pos="720"/>
        </w:tabs>
        <w:spacing w:after="0" w:line="240" w:lineRule="auto"/>
        <w:rPr>
          <w:rFonts w:ascii="Times New Roman" w:eastAsia="Calibri" w:hAnsi="Times New Roman" w:cs="Times New Roman"/>
          <w:b/>
          <w:sz w:val="24"/>
          <w:szCs w:val="24"/>
        </w:rPr>
      </w:pPr>
    </w:p>
    <w:p w14:paraId="31247DD5" w14:textId="6BCFE53B" w:rsidR="002E2AAA" w:rsidRDefault="00BC5E79" w:rsidP="002E2AAA">
      <w:pPr>
        <w:tabs>
          <w:tab w:val="left" w:pos="720"/>
        </w:tabs>
        <w:spacing w:after="0" w:line="240" w:lineRule="auto"/>
        <w:rPr>
          <w:rFonts w:ascii="Times New Roman" w:hAnsi="Times New Roman" w:cs="Times New Roman"/>
          <w:sz w:val="24"/>
          <w:szCs w:val="24"/>
        </w:rPr>
      </w:pPr>
      <w:r w:rsidRPr="47D05C4B">
        <w:rPr>
          <w:rFonts w:ascii="Times New Roman" w:hAnsi="Times New Roman" w:cs="Times New Roman"/>
          <w:sz w:val="24"/>
          <w:szCs w:val="24"/>
        </w:rPr>
        <w:t>The proposal is part of an ongoing investor campaign for greater corporate political spending and lobbying disclosure.</w:t>
      </w:r>
      <w:r w:rsidRPr="47D05C4B">
        <w:rPr>
          <w:rStyle w:val="FootnoteReference"/>
          <w:sz w:val="24"/>
          <w:szCs w:val="24"/>
        </w:rPr>
        <w:footnoteReference w:id="1"/>
      </w:r>
      <w:r>
        <w:rPr>
          <w:rFonts w:ascii="Times New Roman" w:hAnsi="Times New Roman" w:cs="Times New Roman"/>
          <w:sz w:val="24"/>
          <w:szCs w:val="24"/>
        </w:rPr>
        <w:t xml:space="preserve"> </w:t>
      </w:r>
      <w:r w:rsidR="006B3EDD" w:rsidRPr="00715F2F">
        <w:rPr>
          <w:rFonts w:ascii="Times New Roman" w:hAnsi="Times New Roman" w:cs="Times New Roman"/>
          <w:sz w:val="24"/>
          <w:szCs w:val="24"/>
        </w:rPr>
        <w:t xml:space="preserve">Transparency and accountability in corporate spending to influence public policy are in the best interests of </w:t>
      </w:r>
      <w:r w:rsidR="00B228D6">
        <w:rPr>
          <w:rFonts w:ascii="Times New Roman" w:hAnsi="Times New Roman" w:cs="Times New Roman"/>
          <w:sz w:val="24"/>
          <w:szCs w:val="24"/>
        </w:rPr>
        <w:t>RTX</w:t>
      </w:r>
      <w:r w:rsidR="006B3EDD" w:rsidRPr="00715F2F">
        <w:rPr>
          <w:rFonts w:ascii="Times New Roman" w:hAnsi="Times New Roman" w:cs="Times New Roman"/>
          <w:sz w:val="24"/>
          <w:szCs w:val="24"/>
        </w:rPr>
        <w:t xml:space="preserve"> </w:t>
      </w:r>
      <w:r w:rsidR="00ED1A2D">
        <w:rPr>
          <w:rFonts w:ascii="Times New Roman" w:hAnsi="Times New Roman" w:cs="Times New Roman"/>
          <w:sz w:val="24"/>
          <w:szCs w:val="24"/>
        </w:rPr>
        <w:t>shareowner</w:t>
      </w:r>
      <w:r w:rsidR="006B3EDD" w:rsidRPr="00715F2F">
        <w:rPr>
          <w:rFonts w:ascii="Times New Roman" w:hAnsi="Times New Roman" w:cs="Times New Roman"/>
          <w:sz w:val="24"/>
          <w:szCs w:val="24"/>
        </w:rPr>
        <w:t>s. Without a clear system ensuring accountability, corporate assets can be used to promote public policy</w:t>
      </w:r>
      <w:r w:rsidR="006B3EDD" w:rsidRPr="00715F2F">
        <w:rPr>
          <w:rFonts w:ascii="Times New Roman" w:hAnsi="Times New Roman" w:cs="Times New Roman"/>
          <w:color w:val="FF0000"/>
          <w:sz w:val="24"/>
          <w:szCs w:val="24"/>
        </w:rPr>
        <w:t xml:space="preserve"> </w:t>
      </w:r>
      <w:r w:rsidR="006B3EDD" w:rsidRPr="00715F2F">
        <w:rPr>
          <w:rFonts w:ascii="Times New Roman" w:hAnsi="Times New Roman" w:cs="Times New Roman"/>
          <w:sz w:val="24"/>
          <w:szCs w:val="24"/>
        </w:rPr>
        <w:t xml:space="preserve">objectives which can pose risks to </w:t>
      </w:r>
      <w:r w:rsidR="00B228D6">
        <w:rPr>
          <w:rFonts w:ascii="Times New Roman" w:hAnsi="Times New Roman" w:cs="Times New Roman"/>
          <w:sz w:val="24"/>
          <w:szCs w:val="24"/>
        </w:rPr>
        <w:t>RTX</w:t>
      </w:r>
      <w:r w:rsidR="006B3EDD" w:rsidRPr="00715F2F">
        <w:rPr>
          <w:rFonts w:ascii="Times New Roman" w:hAnsi="Times New Roman" w:cs="Times New Roman"/>
          <w:sz w:val="24"/>
          <w:szCs w:val="24"/>
        </w:rPr>
        <w:t xml:space="preserve">’s reputation and </w:t>
      </w:r>
      <w:r w:rsidR="00ED1A2D">
        <w:rPr>
          <w:rFonts w:ascii="Times New Roman" w:hAnsi="Times New Roman" w:cs="Times New Roman"/>
          <w:sz w:val="24"/>
          <w:szCs w:val="24"/>
        </w:rPr>
        <w:t>shareowner</w:t>
      </w:r>
      <w:r w:rsidR="006B3EDD" w:rsidRPr="00715F2F">
        <w:rPr>
          <w:rFonts w:ascii="Times New Roman" w:hAnsi="Times New Roman" w:cs="Times New Roman"/>
          <w:sz w:val="24"/>
          <w:szCs w:val="24"/>
        </w:rPr>
        <w:t xml:space="preserve"> value</w:t>
      </w:r>
      <w:r w:rsidR="006B3EDD">
        <w:rPr>
          <w:rFonts w:ascii="Times New Roman" w:hAnsi="Times New Roman" w:cs="Times New Roman"/>
          <w:sz w:val="24"/>
          <w:szCs w:val="24"/>
        </w:rPr>
        <w:t>.</w:t>
      </w:r>
    </w:p>
    <w:p w14:paraId="6963420E" w14:textId="77777777" w:rsidR="002E2AAA" w:rsidRDefault="002E2AAA" w:rsidP="002E2AAA">
      <w:pPr>
        <w:tabs>
          <w:tab w:val="left" w:pos="720"/>
        </w:tabs>
        <w:spacing w:after="0" w:line="240" w:lineRule="auto"/>
        <w:rPr>
          <w:rFonts w:ascii="Times New Roman" w:hAnsi="Times New Roman" w:cs="Times New Roman"/>
          <w:sz w:val="24"/>
          <w:szCs w:val="24"/>
        </w:rPr>
      </w:pPr>
    </w:p>
    <w:p w14:paraId="5A27D9AA" w14:textId="0E5F7D8F" w:rsidR="006B3EDD" w:rsidRDefault="00B228D6" w:rsidP="002E2AAA">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RTX</w:t>
      </w:r>
      <w:r w:rsidR="006B3EDD" w:rsidRPr="00BB0E71">
        <w:rPr>
          <w:rFonts w:ascii="Times New Roman" w:eastAsia="Times New Roman" w:hAnsi="Times New Roman" w:cs="Times New Roman"/>
          <w:sz w:val="24"/>
          <w:szCs w:val="24"/>
        </w:rPr>
        <w:t xml:space="preserve"> </w:t>
      </w:r>
      <w:r w:rsidR="002D6583">
        <w:rPr>
          <w:rFonts w:ascii="Times New Roman" w:eastAsia="Times New Roman" w:hAnsi="Times New Roman" w:cs="Times New Roman"/>
          <w:sz w:val="24"/>
          <w:szCs w:val="24"/>
        </w:rPr>
        <w:t>should</w:t>
      </w:r>
      <w:r w:rsidR="006B3EDD" w:rsidRPr="00BB0E71">
        <w:rPr>
          <w:rFonts w:ascii="Times New Roman" w:eastAsia="Times New Roman" w:hAnsi="Times New Roman" w:cs="Times New Roman"/>
          <w:sz w:val="24"/>
          <w:szCs w:val="24"/>
        </w:rPr>
        <w:t xml:space="preserve"> commit to corporate political responsibility by increasing its transparency by disclosing all of its third-party spending to influence public policy. </w:t>
      </w:r>
      <w:r w:rsidR="006B3EDD" w:rsidRPr="00BB0E71">
        <w:rPr>
          <w:rFonts w:ascii="Times New Roman" w:eastAsia="Times New Roman" w:hAnsi="Times New Roman" w:cs="Times New Roman"/>
          <w:color w:val="000000" w:themeColor="text1"/>
          <w:sz w:val="24"/>
          <w:szCs w:val="24"/>
        </w:rPr>
        <w:t xml:space="preserve">In this letter, </w:t>
      </w:r>
      <w:r w:rsidR="00455FD1">
        <w:rPr>
          <w:rFonts w:ascii="Times New Roman" w:eastAsia="Times New Roman" w:hAnsi="Times New Roman" w:cs="Times New Roman"/>
          <w:color w:val="000000" w:themeColor="text1"/>
          <w:sz w:val="24"/>
          <w:szCs w:val="24"/>
        </w:rPr>
        <w:t>I</w:t>
      </w:r>
      <w:r w:rsidR="006B3EDD" w:rsidRPr="00BB0E71">
        <w:rPr>
          <w:rFonts w:ascii="Times New Roman" w:eastAsia="Times New Roman" w:hAnsi="Times New Roman" w:cs="Times New Roman"/>
          <w:color w:val="000000" w:themeColor="text1"/>
          <w:sz w:val="24"/>
          <w:szCs w:val="24"/>
        </w:rPr>
        <w:t xml:space="preserve"> will show support for this proposal is warranted because:</w:t>
      </w:r>
    </w:p>
    <w:p w14:paraId="58F8B3E1" w14:textId="77777777" w:rsidR="002E2AAA" w:rsidRPr="00BB0E71" w:rsidRDefault="002E2AAA" w:rsidP="002E2AAA">
      <w:pPr>
        <w:tabs>
          <w:tab w:val="left" w:pos="720"/>
        </w:tabs>
        <w:spacing w:after="0" w:line="240" w:lineRule="auto"/>
        <w:rPr>
          <w:rFonts w:ascii="Times New Roman" w:eastAsia="Times New Roman" w:hAnsi="Times New Roman" w:cs="Times New Roman"/>
          <w:sz w:val="24"/>
          <w:szCs w:val="24"/>
        </w:rPr>
      </w:pPr>
    </w:p>
    <w:p w14:paraId="45D62872" w14:textId="1EDA0CBE" w:rsidR="006B3EDD" w:rsidRPr="00CF04A8" w:rsidRDefault="006B3EDD"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sidRPr="00CF04A8">
        <w:rPr>
          <w:rFonts w:ascii="Times New Roman" w:eastAsia="Times New Roman" w:hAnsi="Times New Roman" w:cs="Times New Roman"/>
          <w:color w:val="000000" w:themeColor="text1"/>
          <w:sz w:val="24"/>
          <w:szCs w:val="24"/>
        </w:rPr>
        <w:t xml:space="preserve">Reputation is an important component of </w:t>
      </w:r>
      <w:r w:rsidR="00ED1A2D">
        <w:rPr>
          <w:rFonts w:ascii="Times New Roman" w:eastAsia="Times New Roman" w:hAnsi="Times New Roman" w:cs="Times New Roman"/>
          <w:color w:val="000000" w:themeColor="text1"/>
          <w:sz w:val="24"/>
          <w:szCs w:val="24"/>
        </w:rPr>
        <w:t>shareowner</w:t>
      </w:r>
      <w:r w:rsidRPr="00CF04A8">
        <w:rPr>
          <w:rFonts w:ascii="Times New Roman" w:eastAsia="Times New Roman" w:hAnsi="Times New Roman" w:cs="Times New Roman"/>
          <w:color w:val="000000" w:themeColor="text1"/>
          <w:sz w:val="24"/>
          <w:szCs w:val="24"/>
        </w:rPr>
        <w:t xml:space="preserve"> value;</w:t>
      </w:r>
    </w:p>
    <w:p w14:paraId="43DA8783" w14:textId="132F8353" w:rsidR="006B3EDD" w:rsidRPr="00CF04A8" w:rsidRDefault="00B228D6"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RTX</w:t>
      </w:r>
      <w:r w:rsidR="006B3EDD" w:rsidRPr="00CF04A8">
        <w:rPr>
          <w:rFonts w:ascii="Times New Roman" w:eastAsia="Times New Roman" w:hAnsi="Times New Roman" w:cs="Times New Roman"/>
          <w:color w:val="000000" w:themeColor="text1"/>
          <w:sz w:val="24"/>
          <w:szCs w:val="24"/>
        </w:rPr>
        <w:t>’s current disclosures are inadequate</w:t>
      </w:r>
    </w:p>
    <w:p w14:paraId="318D8E39" w14:textId="77777777" w:rsidR="006B3EDD" w:rsidRPr="0037534F" w:rsidRDefault="006B3EDD" w:rsidP="006B3EDD">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sidRPr="00CF04A8">
        <w:rPr>
          <w:rFonts w:ascii="Times New Roman" w:eastAsia="Times New Roman" w:hAnsi="Times New Roman" w:cs="Times New Roman"/>
          <w:color w:val="000000" w:themeColor="text1"/>
          <w:sz w:val="24"/>
          <w:szCs w:val="24"/>
        </w:rPr>
        <w:t xml:space="preserve">Dark money spending through trade associations and social welfare groups presents unknown risks; and </w:t>
      </w:r>
    </w:p>
    <w:p w14:paraId="0518DB14" w14:textId="4110811E" w:rsidR="000E6207" w:rsidRPr="0037534F" w:rsidRDefault="00B228D6" w:rsidP="000E6207">
      <w:pPr>
        <w:pStyle w:val="ListParagraph"/>
        <w:numPr>
          <w:ilvl w:val="0"/>
          <w:numId w:val="2"/>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RTX</w:t>
      </w:r>
      <w:r w:rsidR="000E6207" w:rsidRPr="0037534F">
        <w:rPr>
          <w:rFonts w:ascii="Times New Roman" w:eastAsia="Times New Roman" w:hAnsi="Times New Roman" w:cs="Times New Roman"/>
          <w:color w:val="000000" w:themeColor="text1"/>
          <w:sz w:val="24"/>
          <w:szCs w:val="24"/>
        </w:rPr>
        <w:t xml:space="preserve"> could easily provide details of its lobbying </w:t>
      </w:r>
      <w:r w:rsidR="00001E66">
        <w:rPr>
          <w:rFonts w:ascii="Times New Roman" w:eastAsia="Times New Roman" w:hAnsi="Times New Roman" w:cs="Times New Roman"/>
          <w:color w:val="000000" w:themeColor="text1"/>
          <w:sz w:val="24"/>
          <w:szCs w:val="24"/>
        </w:rPr>
        <w:t xml:space="preserve">in an annual report to </w:t>
      </w:r>
      <w:r w:rsidR="00ED1A2D">
        <w:rPr>
          <w:rFonts w:ascii="Times New Roman" w:eastAsia="Times New Roman" w:hAnsi="Times New Roman" w:cs="Times New Roman"/>
          <w:color w:val="000000" w:themeColor="text1"/>
          <w:sz w:val="24"/>
          <w:szCs w:val="24"/>
        </w:rPr>
        <w:t>shareowner</w:t>
      </w:r>
      <w:r w:rsidR="00001E66">
        <w:rPr>
          <w:rFonts w:ascii="Times New Roman" w:eastAsia="Times New Roman" w:hAnsi="Times New Roman" w:cs="Times New Roman"/>
          <w:color w:val="000000" w:themeColor="text1"/>
          <w:sz w:val="24"/>
          <w:szCs w:val="24"/>
        </w:rPr>
        <w:t>s</w:t>
      </w:r>
      <w:r w:rsidR="000E6207" w:rsidRPr="0037534F">
        <w:rPr>
          <w:rFonts w:ascii="Times New Roman" w:eastAsia="Times New Roman" w:hAnsi="Times New Roman" w:cs="Times New Roman"/>
          <w:color w:val="000000" w:themeColor="text1"/>
          <w:sz w:val="24"/>
          <w:szCs w:val="24"/>
        </w:rPr>
        <w:t>.</w:t>
      </w:r>
    </w:p>
    <w:p w14:paraId="25994D0F" w14:textId="77777777" w:rsidR="000E6207" w:rsidRDefault="000E6207" w:rsidP="000E6207">
      <w:pPr>
        <w:tabs>
          <w:tab w:val="left" w:pos="720"/>
        </w:tabs>
        <w:spacing w:after="0" w:line="240" w:lineRule="auto"/>
        <w:rPr>
          <w:rFonts w:ascii="Times New Roman" w:eastAsia="Calibri" w:hAnsi="Times New Roman" w:cs="Times New Roman"/>
          <w:sz w:val="24"/>
          <w:szCs w:val="24"/>
        </w:rPr>
      </w:pPr>
    </w:p>
    <w:p w14:paraId="4EFCE68B" w14:textId="051D8357" w:rsidR="000E6207" w:rsidRPr="00E84EBB" w:rsidRDefault="000E6207" w:rsidP="00E84EBB">
      <w:pPr>
        <w:pStyle w:val="ListParagraph"/>
        <w:numPr>
          <w:ilvl w:val="0"/>
          <w:numId w:val="18"/>
        </w:numPr>
        <w:spacing w:after="0" w:line="240" w:lineRule="auto"/>
        <w:rPr>
          <w:rFonts w:eastAsiaTheme="minorEastAsia"/>
          <w:b/>
          <w:bCs/>
          <w:color w:val="000000" w:themeColor="text1"/>
          <w:sz w:val="28"/>
          <w:szCs w:val="28"/>
        </w:rPr>
      </w:pPr>
      <w:r w:rsidRPr="00E84EBB">
        <w:rPr>
          <w:rFonts w:ascii="Times New Roman" w:eastAsia="Times New Roman" w:hAnsi="Times New Roman" w:cs="Times New Roman"/>
          <w:b/>
          <w:bCs/>
          <w:color w:val="000000" w:themeColor="text1"/>
          <w:sz w:val="28"/>
          <w:szCs w:val="28"/>
        </w:rPr>
        <w:t xml:space="preserve">Corporate Reputation Is an Important Component of </w:t>
      </w:r>
      <w:r w:rsidR="00ED1A2D">
        <w:rPr>
          <w:rFonts w:ascii="Times New Roman" w:eastAsia="Times New Roman" w:hAnsi="Times New Roman" w:cs="Times New Roman"/>
          <w:b/>
          <w:bCs/>
          <w:color w:val="000000" w:themeColor="text1"/>
          <w:sz w:val="28"/>
          <w:szCs w:val="28"/>
        </w:rPr>
        <w:t>Shareowner</w:t>
      </w:r>
      <w:r w:rsidRPr="00E84EBB">
        <w:rPr>
          <w:rFonts w:ascii="Times New Roman" w:eastAsia="Times New Roman" w:hAnsi="Times New Roman" w:cs="Times New Roman"/>
          <w:b/>
          <w:bCs/>
          <w:color w:val="000000" w:themeColor="text1"/>
          <w:sz w:val="28"/>
          <w:szCs w:val="28"/>
        </w:rPr>
        <w:t xml:space="preserve"> Value </w:t>
      </w:r>
    </w:p>
    <w:p w14:paraId="572542ED" w14:textId="7B18B61C" w:rsidR="000E6207" w:rsidRPr="008C68B5" w:rsidRDefault="00B228D6" w:rsidP="000E6207">
      <w:pPr>
        <w:pStyle w:val="ListParagraph"/>
        <w:numPr>
          <w:ilvl w:val="0"/>
          <w:numId w:val="3"/>
        </w:numPr>
        <w:spacing w:after="0" w:line="240" w:lineRule="auto"/>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RTX</w:t>
      </w:r>
      <w:r w:rsidR="000E6207" w:rsidRPr="008C68B5">
        <w:rPr>
          <w:rFonts w:ascii="Times New Roman" w:eastAsia="Times New Roman" w:hAnsi="Times New Roman" w:cs="Times New Roman"/>
          <w:color w:val="000000" w:themeColor="text1"/>
          <w:sz w:val="24"/>
          <w:szCs w:val="24"/>
        </w:rPr>
        <w:t>’s failure to provide robust and complete disclosure of its lobbying activities and expenditures exposes it to potential reputational damage.</w:t>
      </w:r>
    </w:p>
    <w:p w14:paraId="6112E584" w14:textId="77777777" w:rsidR="00263E7B" w:rsidRPr="006C0CE1" w:rsidRDefault="00263E7B" w:rsidP="00263E7B">
      <w:pPr>
        <w:numPr>
          <w:ilvl w:val="0"/>
          <w:numId w:val="4"/>
        </w:numPr>
        <w:spacing w:after="0" w:line="240" w:lineRule="auto"/>
        <w:contextualSpacing/>
        <w:rPr>
          <w:rFonts w:ascii="Times New Roman" w:eastAsia="Times New Roman" w:hAnsi="Times New Roman" w:cs="Times New Roman"/>
          <w:color w:val="000000"/>
          <w:sz w:val="24"/>
          <w:szCs w:val="24"/>
        </w:rPr>
      </w:pPr>
      <w:r w:rsidRPr="008C68B5">
        <w:rPr>
          <w:rFonts w:ascii="Times New Roman" w:eastAsia="Times New Roman" w:hAnsi="Times New Roman" w:cs="Times New Roman"/>
          <w:sz w:val="24"/>
          <w:szCs w:val="24"/>
        </w:rPr>
        <w:t>The 20</w:t>
      </w:r>
      <w:r>
        <w:rPr>
          <w:rFonts w:ascii="Times New Roman" w:eastAsia="Times New Roman" w:hAnsi="Times New Roman" w:cs="Times New Roman"/>
          <w:sz w:val="24"/>
          <w:szCs w:val="24"/>
        </w:rPr>
        <w:t>24</w:t>
      </w:r>
      <w:r w:rsidRPr="008C68B5">
        <w:rPr>
          <w:rFonts w:ascii="Times New Roman" w:eastAsia="Times New Roman" w:hAnsi="Times New Roman" w:cs="Times New Roman"/>
          <w:sz w:val="24"/>
          <w:szCs w:val="24"/>
        </w:rPr>
        <w:t xml:space="preserve"> Reputation </w:t>
      </w:r>
      <w:r>
        <w:rPr>
          <w:rFonts w:ascii="Times New Roman" w:eastAsia="Times New Roman" w:hAnsi="Times New Roman" w:cs="Times New Roman"/>
          <w:sz w:val="24"/>
          <w:szCs w:val="24"/>
        </w:rPr>
        <w:t>Value</w:t>
      </w:r>
      <w:r w:rsidRPr="008C68B5">
        <w:rPr>
          <w:rFonts w:ascii="Times New Roman" w:eastAsia="Times New Roman" w:hAnsi="Times New Roman" w:cs="Times New Roman"/>
          <w:sz w:val="24"/>
          <w:szCs w:val="24"/>
        </w:rPr>
        <w:t xml:space="preserve"> Report estimates that “</w:t>
      </w:r>
      <w:r w:rsidRPr="00382708">
        <w:rPr>
          <w:rFonts w:ascii="Times New Roman" w:eastAsia="Times New Roman" w:hAnsi="Times New Roman" w:cs="Times New Roman"/>
          <w:sz w:val="24"/>
          <w:szCs w:val="24"/>
        </w:rPr>
        <w:t>in both the S&amp;P 500 and FTSE 350, more than 25% of market value is now attributed to corporate reputation.</w:t>
      </w:r>
      <w:r w:rsidRPr="008C68B5">
        <w:rPr>
          <w:rFonts w:ascii="Times New Roman" w:eastAsia="Times New Roman" w:hAnsi="Times New Roman" w:cs="Times New Roman"/>
          <w:sz w:val="24"/>
          <w:szCs w:val="24"/>
        </w:rPr>
        <w:t>”</w:t>
      </w:r>
      <w:r w:rsidRPr="008C68B5">
        <w:rPr>
          <w:rFonts w:ascii="Times New Roman" w:eastAsia="Times New Roman" w:hAnsi="Times New Roman" w:cs="Times New Roman"/>
          <w:sz w:val="24"/>
          <w:szCs w:val="24"/>
          <w:vertAlign w:val="superscript"/>
        </w:rPr>
        <w:footnoteReference w:id="2"/>
      </w:r>
      <w:r w:rsidRPr="008C68B5">
        <w:rPr>
          <w:rFonts w:ascii="Times New Roman" w:eastAsia="Times New Roman" w:hAnsi="Times New Roman" w:cs="Times New Roman"/>
          <w:sz w:val="24"/>
          <w:szCs w:val="24"/>
        </w:rPr>
        <w:t xml:space="preserve"> The Ipsos Global Reputation Centre research across 31 countries shows</w:t>
      </w:r>
      <w:r w:rsidRPr="006C0CE1">
        <w:rPr>
          <w:rFonts w:ascii="Times New Roman" w:eastAsia="Times New Roman" w:hAnsi="Times New Roman" w:cs="Times New Roman"/>
          <w:sz w:val="24"/>
          <w:szCs w:val="24"/>
        </w:rPr>
        <w:t xml:space="preserve"> conclusive proof of the relationship between a good reputation and better business efficiency.</w:t>
      </w:r>
      <w:r w:rsidRPr="006C0CE1">
        <w:rPr>
          <w:rFonts w:ascii="Times New Roman" w:eastAsia="Times New Roman" w:hAnsi="Times New Roman" w:cs="Times New Roman"/>
          <w:sz w:val="24"/>
          <w:szCs w:val="24"/>
          <w:vertAlign w:val="superscript"/>
        </w:rPr>
        <w:footnoteReference w:id="3"/>
      </w:r>
    </w:p>
    <w:p w14:paraId="59FAD0C6" w14:textId="77777777" w:rsidR="000E6207" w:rsidRPr="006C0CE1" w:rsidRDefault="000E6207" w:rsidP="000E6207">
      <w:pPr>
        <w:numPr>
          <w:ilvl w:val="0"/>
          <w:numId w:val="4"/>
        </w:numPr>
        <w:spacing w:after="0" w:line="240" w:lineRule="auto"/>
        <w:contextualSpacing/>
        <w:rPr>
          <w:color w:val="000000" w:themeColor="text1"/>
          <w:sz w:val="24"/>
          <w:szCs w:val="24"/>
        </w:rPr>
      </w:pPr>
      <w:r w:rsidRPr="006C0CE1">
        <w:rPr>
          <w:rFonts w:ascii="Times New Roman" w:eastAsia="Times New Roman" w:hAnsi="Times New Roman" w:cs="Times New Roman"/>
          <w:color w:val="000000"/>
          <w:sz w:val="24"/>
          <w:szCs w:val="24"/>
        </w:rPr>
        <w:t>According to a Deloitte survey, 87 percent of executives rated reputation risk as more important or much more important than other strategic risks their companies are facing, and 88 percent said their companies are explicitly focusing on managing reputation risk.</w:t>
      </w:r>
      <w:r w:rsidRPr="006C0CE1">
        <w:rPr>
          <w:rFonts w:ascii="Times New Roman" w:eastAsia="Times New Roman" w:hAnsi="Times New Roman" w:cs="Times New Roman"/>
          <w:color w:val="000000"/>
          <w:sz w:val="24"/>
          <w:szCs w:val="24"/>
          <w:vertAlign w:val="superscript"/>
        </w:rPr>
        <w:footnoteReference w:id="4"/>
      </w:r>
      <w:r w:rsidRPr="006C0CE1">
        <w:rPr>
          <w:rFonts w:ascii="Times New Roman" w:eastAsia="Times New Roman" w:hAnsi="Times New Roman" w:cs="Times New Roman"/>
          <w:color w:val="000000"/>
          <w:sz w:val="24"/>
          <w:szCs w:val="24"/>
        </w:rPr>
        <w:t xml:space="preserve"> </w:t>
      </w:r>
    </w:p>
    <w:p w14:paraId="06282B21" w14:textId="4FD64140" w:rsidR="000E6207" w:rsidRDefault="000E6207" w:rsidP="000E6207">
      <w:pPr>
        <w:numPr>
          <w:ilvl w:val="0"/>
          <w:numId w:val="4"/>
        </w:numPr>
        <w:tabs>
          <w:tab w:val="left" w:pos="720"/>
        </w:tabs>
        <w:spacing w:after="0" w:line="240" w:lineRule="auto"/>
        <w:rPr>
          <w:sz w:val="24"/>
          <w:szCs w:val="24"/>
        </w:rPr>
      </w:pPr>
      <w:r w:rsidRPr="6231E2A2">
        <w:rPr>
          <w:rFonts w:ascii="Times New Roman" w:eastAsia="Times New Roman" w:hAnsi="Times New Roman" w:cs="Times New Roman"/>
          <w:color w:val="000000" w:themeColor="text1"/>
          <w:sz w:val="24"/>
          <w:szCs w:val="24"/>
        </w:rPr>
        <w:t xml:space="preserve">Clearly, corporate reputation has significant impact on </w:t>
      </w:r>
      <w:r w:rsidR="00ED1A2D">
        <w:rPr>
          <w:rFonts w:ascii="Times New Roman" w:eastAsia="Times New Roman" w:hAnsi="Times New Roman" w:cs="Times New Roman"/>
          <w:color w:val="000000" w:themeColor="text1"/>
          <w:sz w:val="24"/>
          <w:szCs w:val="24"/>
        </w:rPr>
        <w:t>shareowner</w:t>
      </w:r>
      <w:r w:rsidRPr="6231E2A2">
        <w:rPr>
          <w:rFonts w:ascii="Times New Roman" w:eastAsia="Times New Roman" w:hAnsi="Times New Roman" w:cs="Times New Roman"/>
          <w:color w:val="000000" w:themeColor="text1"/>
          <w:sz w:val="24"/>
          <w:szCs w:val="24"/>
        </w:rPr>
        <w:t xml:space="preserve"> value.</w:t>
      </w:r>
    </w:p>
    <w:p w14:paraId="4E0B3361" w14:textId="77777777" w:rsidR="000E6207" w:rsidRDefault="000E6207" w:rsidP="000E6207">
      <w:pPr>
        <w:tabs>
          <w:tab w:val="left" w:pos="720"/>
        </w:tabs>
        <w:spacing w:after="0" w:line="240" w:lineRule="auto"/>
        <w:rPr>
          <w:rFonts w:ascii="Times New Roman" w:eastAsia="Times New Roman" w:hAnsi="Times New Roman" w:cs="Times New Roman"/>
          <w:color w:val="000000" w:themeColor="text1"/>
          <w:sz w:val="24"/>
          <w:szCs w:val="24"/>
        </w:rPr>
      </w:pPr>
    </w:p>
    <w:p w14:paraId="1EBEF864" w14:textId="2CB0A2DE" w:rsidR="000E6207" w:rsidRPr="00473C4B" w:rsidRDefault="000E6207" w:rsidP="00473C4B">
      <w:pPr>
        <w:pStyle w:val="ListParagraph"/>
        <w:numPr>
          <w:ilvl w:val="0"/>
          <w:numId w:val="18"/>
        </w:num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00473C4B">
        <w:rPr>
          <w:rFonts w:ascii="Times New Roman" w:eastAsia="Times New Roman" w:hAnsi="Times New Roman" w:cs="Times New Roman"/>
          <w:b/>
          <w:bCs/>
          <w:color w:val="000000" w:themeColor="text1"/>
          <w:sz w:val="28"/>
          <w:szCs w:val="28"/>
        </w:rPr>
        <w:t xml:space="preserve">Disclosure Gaps - </w:t>
      </w:r>
      <w:r w:rsidR="00B228D6">
        <w:rPr>
          <w:rFonts w:ascii="Times New Roman" w:eastAsia="Times New Roman" w:hAnsi="Times New Roman" w:cs="Times New Roman"/>
          <w:b/>
          <w:bCs/>
          <w:color w:val="000000" w:themeColor="text1"/>
          <w:sz w:val="28"/>
          <w:szCs w:val="28"/>
        </w:rPr>
        <w:t>RTX</w:t>
      </w:r>
      <w:r w:rsidRPr="00473C4B">
        <w:rPr>
          <w:rFonts w:ascii="Times New Roman" w:eastAsia="Times New Roman" w:hAnsi="Times New Roman" w:cs="Times New Roman"/>
          <w:b/>
          <w:bCs/>
          <w:color w:val="000000" w:themeColor="text1"/>
          <w:sz w:val="28"/>
          <w:szCs w:val="28"/>
        </w:rPr>
        <w:t xml:space="preserve"> Investors Need a Lobbying Report</w:t>
      </w:r>
    </w:p>
    <w:p w14:paraId="1F4BDA3D" w14:textId="636D441B" w:rsidR="000E6207" w:rsidRPr="0030225A" w:rsidRDefault="000E6207" w:rsidP="000E6207">
      <w:pPr>
        <w:pStyle w:val="ListParagraph"/>
        <w:numPr>
          <w:ilvl w:val="0"/>
          <w:numId w:val="6"/>
        </w:numPr>
        <w:shd w:val="clear" w:color="auto" w:fill="FFFFFF" w:themeFill="background1"/>
        <w:spacing w:after="0" w:line="240" w:lineRule="auto"/>
        <w:rPr>
          <w:rFonts w:ascii="Times New Roman" w:eastAsia="Times New Roman" w:hAnsi="Times New Roman" w:cs="Times New Roman"/>
          <w:b/>
          <w:bCs/>
          <w:sz w:val="28"/>
          <w:szCs w:val="28"/>
        </w:rPr>
      </w:pPr>
      <w:r w:rsidRPr="00E84EBB">
        <w:rPr>
          <w:rFonts w:ascii="Times New Roman" w:eastAsia="Times New Roman" w:hAnsi="Times New Roman" w:cs="Times New Roman"/>
          <w:color w:val="000000" w:themeColor="text1"/>
          <w:sz w:val="24"/>
          <w:szCs w:val="24"/>
        </w:rPr>
        <w:t xml:space="preserve">Information on </w:t>
      </w:r>
      <w:r w:rsidR="00B228D6">
        <w:rPr>
          <w:rFonts w:ascii="Times New Roman" w:eastAsia="Times New Roman" w:hAnsi="Times New Roman" w:cs="Times New Roman"/>
          <w:color w:val="000000" w:themeColor="text1"/>
          <w:sz w:val="24"/>
          <w:szCs w:val="24"/>
        </w:rPr>
        <w:t>RTX</w:t>
      </w:r>
      <w:r w:rsidRPr="00E84EBB">
        <w:rPr>
          <w:rFonts w:ascii="Times New Roman" w:eastAsia="Times New Roman" w:hAnsi="Times New Roman" w:cs="Times New Roman"/>
          <w:color w:val="000000" w:themeColor="text1"/>
          <w:sz w:val="24"/>
          <w:szCs w:val="24"/>
        </w:rPr>
        <w:t>’s federal, state and international lobbying spending is difficult to obtain, limited and non-consolidated.</w:t>
      </w:r>
      <w:r w:rsidRPr="0030225A">
        <w:rPr>
          <w:rFonts w:ascii="Times New Roman" w:eastAsia="Times New Roman" w:hAnsi="Times New Roman" w:cs="Times New Roman"/>
          <w:b/>
          <w:bCs/>
          <w:color w:val="000000" w:themeColor="text1"/>
          <w:sz w:val="24"/>
          <w:szCs w:val="24"/>
        </w:rPr>
        <w:t xml:space="preserve"> </w:t>
      </w:r>
      <w:r w:rsidR="00B228D6">
        <w:rPr>
          <w:rFonts w:ascii="Times New Roman" w:eastAsia="Times New Roman" w:hAnsi="Times New Roman" w:cs="Times New Roman"/>
          <w:color w:val="000000" w:themeColor="text1"/>
          <w:sz w:val="24"/>
          <w:szCs w:val="24"/>
        </w:rPr>
        <w:t>RTX</w:t>
      </w:r>
      <w:r w:rsidRPr="0030225A">
        <w:rPr>
          <w:rFonts w:ascii="Times New Roman" w:eastAsia="Times New Roman" w:hAnsi="Times New Roman" w:cs="Times New Roman"/>
          <w:color w:val="000000" w:themeColor="text1"/>
          <w:sz w:val="24"/>
          <w:szCs w:val="24"/>
        </w:rPr>
        <w:t xml:space="preserve"> fails to provide to a comprehensive lobbying report where they can learn </w:t>
      </w:r>
      <w:r w:rsidR="00414FA2">
        <w:rPr>
          <w:rFonts w:ascii="Times New Roman" w:eastAsia="Times New Roman" w:hAnsi="Times New Roman" w:cs="Times New Roman"/>
          <w:color w:val="000000" w:themeColor="text1"/>
          <w:sz w:val="24"/>
          <w:szCs w:val="24"/>
        </w:rPr>
        <w:t>the</w:t>
      </w:r>
      <w:r w:rsidRPr="0030225A">
        <w:rPr>
          <w:rFonts w:ascii="Times New Roman" w:eastAsia="Times New Roman" w:hAnsi="Times New Roman" w:cs="Times New Roman"/>
          <w:color w:val="000000" w:themeColor="text1"/>
          <w:sz w:val="24"/>
          <w:szCs w:val="24"/>
        </w:rPr>
        <w:t xml:space="preserve"> amounts spent on direct or indirect lobbying </w:t>
      </w:r>
      <w:r w:rsidRPr="0030225A">
        <w:rPr>
          <w:rFonts w:ascii="Times New Roman" w:eastAsia="Times New Roman" w:hAnsi="Times New Roman" w:cs="Times New Roman"/>
          <w:color w:val="000000" w:themeColor="text1"/>
          <w:sz w:val="24"/>
          <w:szCs w:val="24"/>
        </w:rPr>
        <w:lastRenderedPageBreak/>
        <w:t xml:space="preserve">activities/relationships, priorities, and how those efforts are supportive of the company’s strategy and investor interests. Yet, </w:t>
      </w:r>
      <w:r w:rsidR="00B228D6">
        <w:rPr>
          <w:rFonts w:ascii="Times New Roman" w:eastAsia="Times New Roman" w:hAnsi="Times New Roman" w:cs="Times New Roman"/>
          <w:color w:val="000000" w:themeColor="text1"/>
          <w:sz w:val="24"/>
          <w:szCs w:val="24"/>
        </w:rPr>
        <w:t>RTX</w:t>
      </w:r>
      <w:r w:rsidRPr="0030225A">
        <w:rPr>
          <w:rFonts w:ascii="Times New Roman" w:eastAsia="Times New Roman" w:hAnsi="Times New Roman" w:cs="Times New Roman"/>
          <w:color w:val="000000" w:themeColor="text1"/>
          <w:sz w:val="24"/>
          <w:szCs w:val="24"/>
        </w:rPr>
        <w:t xml:space="preserve"> has a broad lobbying footprint.</w:t>
      </w:r>
    </w:p>
    <w:p w14:paraId="3C001BB2" w14:textId="77777777" w:rsidR="000E6207" w:rsidRDefault="000E6207" w:rsidP="000E6207">
      <w:pPr>
        <w:tabs>
          <w:tab w:val="left" w:pos="720"/>
        </w:tabs>
        <w:spacing w:after="0" w:line="240" w:lineRule="auto"/>
        <w:rPr>
          <w:rFonts w:ascii="Times New Roman" w:eastAsia="Times New Roman" w:hAnsi="Times New Roman" w:cs="Times New Roman"/>
          <w:b/>
          <w:bCs/>
          <w:sz w:val="24"/>
          <w:szCs w:val="24"/>
        </w:rPr>
      </w:pPr>
    </w:p>
    <w:p w14:paraId="6B3344B8" w14:textId="101FFAD3" w:rsidR="000E6207" w:rsidRPr="000F4D81" w:rsidRDefault="000E6207" w:rsidP="000E6207">
      <w:pPr>
        <w:tabs>
          <w:tab w:val="left" w:pos="720"/>
        </w:tabs>
        <w:spacing w:after="0" w:line="240" w:lineRule="auto"/>
        <w:rPr>
          <w:rFonts w:ascii="Times New Roman" w:eastAsia="Times New Roman" w:hAnsi="Times New Roman" w:cs="Times New Roman"/>
          <w:b/>
          <w:bCs/>
          <w:sz w:val="24"/>
          <w:szCs w:val="24"/>
        </w:rPr>
      </w:pPr>
      <w:r w:rsidRPr="696EF02E">
        <w:rPr>
          <w:rFonts w:ascii="Times New Roman" w:eastAsia="Times New Roman" w:hAnsi="Times New Roman" w:cs="Times New Roman"/>
          <w:b/>
          <w:bCs/>
          <w:sz w:val="24"/>
          <w:szCs w:val="24"/>
        </w:rPr>
        <w:t xml:space="preserve">Federal Lobbying – </w:t>
      </w:r>
      <w:r w:rsidR="00B228D6">
        <w:rPr>
          <w:rFonts w:ascii="Times New Roman" w:eastAsia="Times New Roman" w:hAnsi="Times New Roman" w:cs="Times New Roman"/>
          <w:b/>
          <w:bCs/>
          <w:sz w:val="24"/>
          <w:szCs w:val="24"/>
        </w:rPr>
        <w:t>RTX</w:t>
      </w:r>
      <w:r w:rsidRPr="696EF02E">
        <w:rPr>
          <w:rFonts w:ascii="Times New Roman" w:eastAsia="Times New Roman" w:hAnsi="Times New Roman" w:cs="Times New Roman"/>
          <w:b/>
          <w:bCs/>
          <w:sz w:val="24"/>
          <w:szCs w:val="24"/>
        </w:rPr>
        <w:t xml:space="preserve"> Spends Millions Each Year </w:t>
      </w:r>
    </w:p>
    <w:p w14:paraId="28E02482" w14:textId="62E594A8" w:rsidR="000E6207" w:rsidRPr="001D05AC" w:rsidRDefault="00B228D6" w:rsidP="000E6207">
      <w:pPr>
        <w:pStyle w:val="ListParagraph"/>
        <w:numPr>
          <w:ilvl w:val="0"/>
          <w:numId w:val="5"/>
        </w:numPr>
        <w:spacing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RTX</w:t>
      </w:r>
      <w:r w:rsidR="000E6207" w:rsidRPr="696EF02E">
        <w:rPr>
          <w:rFonts w:ascii="Times New Roman" w:eastAsia="Times New Roman" w:hAnsi="Times New Roman" w:cs="Times New Roman"/>
          <w:color w:val="000000" w:themeColor="text1"/>
          <w:sz w:val="24"/>
          <w:szCs w:val="24"/>
        </w:rPr>
        <w:t xml:space="preserve"> spent $</w:t>
      </w:r>
      <w:r w:rsidR="001D7017">
        <w:rPr>
          <w:rFonts w:ascii="Times New Roman" w:eastAsia="Times New Roman" w:hAnsi="Times New Roman" w:cs="Times New Roman"/>
          <w:color w:val="000000" w:themeColor="text1"/>
          <w:sz w:val="24"/>
          <w:szCs w:val="24"/>
        </w:rPr>
        <w:t>62,590</w:t>
      </w:r>
      <w:r w:rsidR="00A44219">
        <w:rPr>
          <w:rFonts w:ascii="Times New Roman" w:eastAsia="Times New Roman" w:hAnsi="Times New Roman" w:cs="Times New Roman"/>
          <w:color w:val="000000" w:themeColor="text1"/>
          <w:sz w:val="24"/>
          <w:szCs w:val="24"/>
        </w:rPr>
        <w:t>,000</w:t>
      </w:r>
      <w:r w:rsidR="000E6207" w:rsidRPr="696EF02E">
        <w:rPr>
          <w:rFonts w:ascii="Times New Roman" w:eastAsia="Times New Roman" w:hAnsi="Times New Roman" w:cs="Times New Roman"/>
          <w:color w:val="000000" w:themeColor="text1"/>
          <w:sz w:val="24"/>
          <w:szCs w:val="24"/>
        </w:rPr>
        <w:t xml:space="preserve"> on federal lobbying from 20</w:t>
      </w:r>
      <w:r w:rsidR="00D75BFA">
        <w:rPr>
          <w:rFonts w:ascii="Times New Roman" w:eastAsia="Times New Roman" w:hAnsi="Times New Roman" w:cs="Times New Roman"/>
          <w:color w:val="000000" w:themeColor="text1"/>
          <w:sz w:val="24"/>
          <w:szCs w:val="24"/>
        </w:rPr>
        <w:t>20</w:t>
      </w:r>
      <w:r w:rsidR="00086C88">
        <w:rPr>
          <w:rFonts w:ascii="Times New Roman" w:eastAsia="Times New Roman" w:hAnsi="Times New Roman" w:cs="Times New Roman"/>
          <w:color w:val="000000" w:themeColor="text1"/>
          <w:sz w:val="24"/>
          <w:szCs w:val="24"/>
        </w:rPr>
        <w:t xml:space="preserve"> </w:t>
      </w:r>
      <w:r w:rsidR="00086C88" w:rsidRPr="00BE60CD">
        <w:rPr>
          <w:rFonts w:ascii="Times New Roman" w:eastAsia="Times New Roman" w:hAnsi="Times New Roman" w:cs="Times New Roman"/>
          <w:color w:val="000000" w:themeColor="text1"/>
          <w:sz w:val="24"/>
          <w:szCs w:val="24"/>
        </w:rPr>
        <w:t>–</w:t>
      </w:r>
      <w:r w:rsidR="00086C88">
        <w:rPr>
          <w:rFonts w:ascii="Times New Roman" w:eastAsia="Times New Roman" w:hAnsi="Times New Roman" w:cs="Times New Roman"/>
          <w:color w:val="000000" w:themeColor="text1"/>
          <w:sz w:val="24"/>
          <w:szCs w:val="24"/>
        </w:rPr>
        <w:t xml:space="preserve"> </w:t>
      </w:r>
      <w:r w:rsidR="000E6207" w:rsidRPr="696EF02E">
        <w:rPr>
          <w:rFonts w:ascii="Times New Roman" w:eastAsia="Times New Roman" w:hAnsi="Times New Roman" w:cs="Times New Roman"/>
          <w:color w:val="000000" w:themeColor="text1"/>
          <w:sz w:val="24"/>
          <w:szCs w:val="24"/>
        </w:rPr>
        <w:t>202</w:t>
      </w:r>
      <w:r w:rsidR="001D7017">
        <w:rPr>
          <w:rFonts w:ascii="Times New Roman" w:eastAsia="Times New Roman" w:hAnsi="Times New Roman" w:cs="Times New Roman"/>
          <w:color w:val="000000" w:themeColor="text1"/>
          <w:sz w:val="24"/>
          <w:szCs w:val="24"/>
        </w:rPr>
        <w:t>4</w:t>
      </w:r>
      <w:r w:rsidR="00A44219">
        <w:rPr>
          <w:rFonts w:ascii="Times New Roman" w:eastAsia="Times New Roman" w:hAnsi="Times New Roman" w:cs="Times New Roman"/>
          <w:color w:val="000000" w:themeColor="text1"/>
          <w:sz w:val="24"/>
          <w:szCs w:val="24"/>
        </w:rPr>
        <w:t>.</w:t>
      </w:r>
    </w:p>
    <w:p w14:paraId="6D7BB253" w14:textId="1795C16A" w:rsidR="00F67F33" w:rsidRPr="00C60258" w:rsidRDefault="00291814" w:rsidP="00C21EC9">
      <w:pPr>
        <w:pStyle w:val="ListParagraph"/>
        <w:numPr>
          <w:ilvl w:val="0"/>
          <w:numId w:val="5"/>
        </w:numPr>
        <w:spacing w:line="240" w:lineRule="auto"/>
        <w:rPr>
          <w:rFonts w:ascii="Times New Roman" w:hAnsi="Times New Roman" w:cs="Times New Roman"/>
          <w:b/>
          <w:bCs/>
          <w:sz w:val="24"/>
          <w:szCs w:val="24"/>
        </w:rPr>
      </w:pPr>
      <w:r w:rsidRPr="00C60258">
        <w:rPr>
          <w:rFonts w:ascii="Times New Roman" w:hAnsi="Times New Roman" w:cs="Times New Roman"/>
          <w:sz w:val="24"/>
          <w:szCs w:val="24"/>
        </w:rPr>
        <w:t xml:space="preserve">RTX’s federal lobbying </w:t>
      </w:r>
      <w:r w:rsidR="00F67F33" w:rsidRPr="00C60258">
        <w:rPr>
          <w:rFonts w:ascii="Times New Roman" w:hAnsi="Times New Roman" w:cs="Times New Roman"/>
          <w:sz w:val="24"/>
          <w:szCs w:val="24"/>
        </w:rPr>
        <w:t>has drawn attention after it</w:t>
      </w:r>
      <w:r w:rsidRPr="00C60258">
        <w:rPr>
          <w:rFonts w:ascii="Times New Roman" w:hAnsi="Times New Roman" w:cs="Times New Roman"/>
          <w:sz w:val="24"/>
          <w:szCs w:val="24"/>
        </w:rPr>
        <w:t xml:space="preserve"> settled charges of bribery and fraud for over $950 million</w:t>
      </w:r>
      <w:r w:rsidR="00C60258" w:rsidRPr="00C60258">
        <w:rPr>
          <w:rFonts w:ascii="Times New Roman" w:eastAsia="Times New Roman" w:hAnsi="Times New Roman" w:cs="Times New Roman"/>
          <w:color w:val="000000" w:themeColor="text1"/>
          <w:sz w:val="24"/>
          <w:szCs w:val="24"/>
        </w:rPr>
        <w:t>.</w:t>
      </w:r>
      <w:r w:rsidR="00C60258">
        <w:rPr>
          <w:rStyle w:val="FootnoteReference"/>
          <w:rFonts w:ascii="Times New Roman" w:eastAsia="Times New Roman" w:hAnsi="Times New Roman"/>
          <w:color w:val="000000" w:themeColor="text1"/>
          <w:sz w:val="24"/>
          <w:szCs w:val="24"/>
        </w:rPr>
        <w:footnoteReference w:id="5"/>
      </w:r>
    </w:p>
    <w:p w14:paraId="0F239530" w14:textId="34BB9886" w:rsidR="003C0F08" w:rsidRPr="00C60258" w:rsidRDefault="00F67F33" w:rsidP="00C21EC9">
      <w:pPr>
        <w:pStyle w:val="ListParagraph"/>
        <w:numPr>
          <w:ilvl w:val="0"/>
          <w:numId w:val="5"/>
        </w:numPr>
        <w:spacing w:line="240" w:lineRule="auto"/>
        <w:rPr>
          <w:rFonts w:ascii="Times New Roman" w:hAnsi="Times New Roman" w:cs="Times New Roman"/>
          <w:b/>
          <w:bCs/>
          <w:sz w:val="24"/>
          <w:szCs w:val="24"/>
        </w:rPr>
      </w:pPr>
      <w:r w:rsidRPr="00C60258">
        <w:rPr>
          <w:rFonts w:ascii="Times New Roman" w:eastAsia="Times New Roman" w:hAnsi="Times New Roman" w:cs="Times New Roman"/>
          <w:color w:val="000000" w:themeColor="text1"/>
          <w:sz w:val="24"/>
          <w:szCs w:val="24"/>
        </w:rPr>
        <w:t xml:space="preserve">And </w:t>
      </w:r>
      <w:r w:rsidR="003C0F08" w:rsidRPr="00C60258">
        <w:rPr>
          <w:rFonts w:ascii="Times New Roman" w:eastAsia="Times New Roman" w:hAnsi="Times New Roman" w:cs="Times New Roman"/>
          <w:color w:val="000000" w:themeColor="text1"/>
          <w:sz w:val="24"/>
          <w:szCs w:val="24"/>
        </w:rPr>
        <w:t>RTX</w:t>
      </w:r>
      <w:r w:rsidR="000E478F" w:rsidRPr="00C60258">
        <w:rPr>
          <w:rFonts w:ascii="Times New Roman" w:eastAsia="Times New Roman" w:hAnsi="Times New Roman" w:cs="Times New Roman"/>
          <w:color w:val="000000" w:themeColor="text1"/>
          <w:sz w:val="24"/>
          <w:szCs w:val="24"/>
        </w:rPr>
        <w:t>’</w:t>
      </w:r>
      <w:r w:rsidR="003C0F08" w:rsidRPr="00C60258">
        <w:rPr>
          <w:rFonts w:ascii="Times New Roman" w:eastAsia="Times New Roman" w:hAnsi="Times New Roman" w:cs="Times New Roman"/>
          <w:color w:val="000000" w:themeColor="text1"/>
          <w:sz w:val="24"/>
          <w:szCs w:val="24"/>
        </w:rPr>
        <w:t>s federal lobbying over research and development tax credits has attracted scrutiny.</w:t>
      </w:r>
      <w:r w:rsidR="00CC1B16" w:rsidRPr="00C60258">
        <w:rPr>
          <w:rStyle w:val="FootnoteReference"/>
          <w:rFonts w:ascii="Times New Roman" w:eastAsia="Times New Roman" w:hAnsi="Times New Roman"/>
          <w:color w:val="000000" w:themeColor="text1"/>
          <w:sz w:val="24"/>
          <w:szCs w:val="24"/>
        </w:rPr>
        <w:footnoteReference w:id="6"/>
      </w:r>
    </w:p>
    <w:p w14:paraId="4422ABFB" w14:textId="0B2E6D4B" w:rsidR="00C21EC9" w:rsidRPr="00D749BA" w:rsidRDefault="00C21EC9" w:rsidP="00C21EC9">
      <w:pPr>
        <w:pStyle w:val="ListParagraph"/>
        <w:numPr>
          <w:ilvl w:val="0"/>
          <w:numId w:val="5"/>
        </w:numPr>
        <w:spacing w:line="240" w:lineRule="auto"/>
        <w:rPr>
          <w:rFonts w:ascii="Times New Roman" w:hAnsi="Times New Roman" w:cs="Times New Roman"/>
          <w:b/>
          <w:bCs/>
          <w:sz w:val="24"/>
          <w:szCs w:val="24"/>
        </w:rPr>
      </w:pPr>
      <w:r w:rsidRPr="001D05AC">
        <w:rPr>
          <w:rFonts w:ascii="Times New Roman" w:eastAsia="Times New Roman" w:hAnsi="Times New Roman" w:cs="Times New Roman"/>
          <w:color w:val="000000" w:themeColor="text1"/>
          <w:sz w:val="24"/>
          <w:szCs w:val="24"/>
        </w:rPr>
        <w:t xml:space="preserve">Yet </w:t>
      </w:r>
      <w:r w:rsidR="00B228D6">
        <w:rPr>
          <w:rFonts w:ascii="Times New Roman" w:eastAsia="Times New Roman" w:hAnsi="Times New Roman" w:cs="Times New Roman"/>
          <w:color w:val="000000" w:themeColor="text1"/>
          <w:sz w:val="24"/>
          <w:szCs w:val="24"/>
        </w:rPr>
        <w:t>RTX</w:t>
      </w:r>
      <w:r w:rsidRPr="001D05AC">
        <w:rPr>
          <w:rFonts w:ascii="Times New Roman" w:eastAsia="Times New Roman" w:hAnsi="Times New Roman" w:cs="Times New Roman"/>
          <w:color w:val="000000" w:themeColor="text1"/>
          <w:sz w:val="24"/>
          <w:szCs w:val="24"/>
        </w:rPr>
        <w:t xml:space="preserve"> fails to disclose its federal lobbying amounts </w:t>
      </w:r>
      <w:r w:rsidR="00A56391" w:rsidRPr="001D05AC">
        <w:rPr>
          <w:rFonts w:ascii="Times New Roman" w:eastAsia="Times New Roman" w:hAnsi="Times New Roman" w:cs="Times New Roman"/>
          <w:color w:val="000000" w:themeColor="text1"/>
          <w:sz w:val="24"/>
          <w:szCs w:val="24"/>
        </w:rPr>
        <w:t xml:space="preserve">in an annual report </w:t>
      </w:r>
      <w:r w:rsidRPr="001D05AC">
        <w:rPr>
          <w:rFonts w:ascii="Times New Roman" w:eastAsia="Times New Roman" w:hAnsi="Times New Roman" w:cs="Times New Roman"/>
          <w:color w:val="000000" w:themeColor="text1"/>
          <w:sz w:val="24"/>
          <w:szCs w:val="24"/>
        </w:rPr>
        <w:t xml:space="preserve">to </w:t>
      </w:r>
      <w:r w:rsidR="00ED1A2D">
        <w:rPr>
          <w:rFonts w:ascii="Times New Roman" w:eastAsia="Times New Roman" w:hAnsi="Times New Roman" w:cs="Times New Roman"/>
          <w:color w:val="000000" w:themeColor="text1"/>
          <w:sz w:val="24"/>
          <w:szCs w:val="24"/>
        </w:rPr>
        <w:t>shareowner</w:t>
      </w:r>
      <w:r w:rsidRPr="001D05AC">
        <w:rPr>
          <w:rFonts w:ascii="Times New Roman" w:eastAsia="Times New Roman" w:hAnsi="Times New Roman" w:cs="Times New Roman"/>
          <w:color w:val="000000" w:themeColor="text1"/>
          <w:sz w:val="24"/>
          <w:szCs w:val="24"/>
        </w:rPr>
        <w:t>s as requested</w:t>
      </w:r>
      <w:r w:rsidRPr="009F5224">
        <w:rPr>
          <w:rFonts w:ascii="Times New Roman" w:eastAsia="Times New Roman" w:hAnsi="Times New Roman" w:cs="Times New Roman"/>
          <w:color w:val="000000" w:themeColor="text1"/>
          <w:sz w:val="24"/>
          <w:szCs w:val="24"/>
        </w:rPr>
        <w:t>.</w:t>
      </w:r>
    </w:p>
    <w:p w14:paraId="164CF634" w14:textId="3B4332C0" w:rsidR="00355A59" w:rsidRPr="001F78B0" w:rsidRDefault="00C21EC9" w:rsidP="00355A59">
      <w:pPr>
        <w:spacing w:after="0" w:line="240" w:lineRule="auto"/>
        <w:rPr>
          <w:rFonts w:ascii="Times New Roman" w:eastAsia="Times New Roman" w:hAnsi="Times New Roman" w:cs="Times New Roman"/>
          <w:b/>
          <w:bCs/>
          <w:sz w:val="24"/>
          <w:szCs w:val="24"/>
        </w:rPr>
      </w:pPr>
      <w:r w:rsidRPr="001F78B0">
        <w:rPr>
          <w:rFonts w:ascii="Times New Roman" w:eastAsia="Times New Roman" w:hAnsi="Times New Roman" w:cs="Times New Roman"/>
          <w:b/>
          <w:bCs/>
          <w:sz w:val="24"/>
          <w:szCs w:val="24"/>
        </w:rPr>
        <w:t xml:space="preserve">State Lobbying </w:t>
      </w:r>
      <w:r w:rsidR="00355A59" w:rsidRPr="001F78B0">
        <w:rPr>
          <w:rFonts w:ascii="Times New Roman" w:eastAsia="Times New Roman" w:hAnsi="Times New Roman" w:cs="Times New Roman"/>
          <w:b/>
          <w:bCs/>
          <w:sz w:val="24"/>
          <w:szCs w:val="24"/>
        </w:rPr>
        <w:t xml:space="preserve">– </w:t>
      </w:r>
      <w:r w:rsidR="00355A59">
        <w:rPr>
          <w:rFonts w:ascii="Times New Roman" w:eastAsia="Times New Roman" w:hAnsi="Times New Roman" w:cs="Times New Roman"/>
          <w:b/>
          <w:bCs/>
          <w:sz w:val="24"/>
          <w:szCs w:val="24"/>
        </w:rPr>
        <w:t>A “Black Hole”</w:t>
      </w:r>
      <w:r w:rsidR="00355A59" w:rsidRPr="001F78B0">
        <w:rPr>
          <w:rFonts w:ascii="Times New Roman" w:eastAsia="Times New Roman" w:hAnsi="Times New Roman" w:cs="Times New Roman"/>
          <w:b/>
          <w:bCs/>
          <w:sz w:val="24"/>
          <w:szCs w:val="24"/>
        </w:rPr>
        <w:t xml:space="preserve"> </w:t>
      </w:r>
      <w:r w:rsidR="00355A59">
        <w:rPr>
          <w:rFonts w:ascii="Times New Roman" w:eastAsia="Times New Roman" w:hAnsi="Times New Roman" w:cs="Times New Roman"/>
          <w:b/>
          <w:bCs/>
          <w:sz w:val="24"/>
          <w:szCs w:val="24"/>
        </w:rPr>
        <w:t xml:space="preserve">for </w:t>
      </w:r>
      <w:r w:rsidR="00ED1A2D">
        <w:rPr>
          <w:rFonts w:ascii="Times New Roman" w:eastAsia="Times New Roman" w:hAnsi="Times New Roman" w:cs="Times New Roman"/>
          <w:b/>
          <w:bCs/>
          <w:sz w:val="24"/>
          <w:szCs w:val="24"/>
        </w:rPr>
        <w:t>Shareowner</w:t>
      </w:r>
      <w:r w:rsidR="00355A59">
        <w:rPr>
          <w:rFonts w:ascii="Times New Roman" w:eastAsia="Times New Roman" w:hAnsi="Times New Roman" w:cs="Times New Roman"/>
          <w:b/>
          <w:bCs/>
          <w:sz w:val="24"/>
          <w:szCs w:val="24"/>
        </w:rPr>
        <w:t>s</w:t>
      </w:r>
    </w:p>
    <w:p w14:paraId="218DE92E" w14:textId="12FB8637" w:rsidR="00355A59" w:rsidRPr="008E155A" w:rsidRDefault="00355A59" w:rsidP="00355A59">
      <w:pPr>
        <w:pStyle w:val="ListParagraph"/>
        <w:numPr>
          <w:ilvl w:val="0"/>
          <w:numId w:val="5"/>
        </w:numPr>
        <w:spacing w:after="0" w:line="240" w:lineRule="auto"/>
        <w:rPr>
          <w:rFonts w:ascii="Times New Roman" w:hAnsi="Times New Roman" w:cs="Times New Roman"/>
          <w:b/>
          <w:bCs/>
          <w:color w:val="000000" w:themeColor="text1"/>
          <w:sz w:val="24"/>
          <w:szCs w:val="24"/>
        </w:rPr>
      </w:pPr>
      <w:r w:rsidRPr="00E33B3A">
        <w:rPr>
          <w:rFonts w:ascii="Times New Roman" w:hAnsi="Times New Roman" w:cs="Times New Roman"/>
          <w:sz w:val="24"/>
          <w:szCs w:val="24"/>
        </w:rPr>
        <w:t>State lobbying disclosure has been described as a “Black Hole</w:t>
      </w:r>
      <w:r>
        <w:rPr>
          <w:rFonts w:ascii="Times New Roman" w:hAnsi="Times New Roman" w:cs="Times New Roman"/>
          <w:sz w:val="24"/>
          <w:szCs w:val="24"/>
        </w:rPr>
        <w:t>,</w:t>
      </w:r>
      <w:r w:rsidRPr="00E33B3A">
        <w:rPr>
          <w:rFonts w:ascii="Times New Roman" w:hAnsi="Times New Roman" w:cs="Times New Roman"/>
          <w:sz w:val="24"/>
          <w:szCs w:val="24"/>
        </w:rPr>
        <w:t xml:space="preserve">” with a </w:t>
      </w:r>
      <w:r w:rsidR="0099264C">
        <w:rPr>
          <w:rFonts w:ascii="Times New Roman" w:hAnsi="Times New Roman" w:cs="Times New Roman"/>
          <w:sz w:val="24"/>
          <w:szCs w:val="24"/>
        </w:rPr>
        <w:t>2023</w:t>
      </w:r>
      <w:r w:rsidRPr="00E33B3A">
        <w:rPr>
          <w:rFonts w:ascii="Times New Roman" w:hAnsi="Times New Roman" w:cs="Times New Roman"/>
          <w:sz w:val="24"/>
          <w:szCs w:val="24"/>
        </w:rPr>
        <w:t xml:space="preserve"> study finding 98% of the S&amp;P 500 fails to disclose state-specific lobbying totals to </w:t>
      </w:r>
      <w:r w:rsidR="00ED1A2D">
        <w:rPr>
          <w:rFonts w:ascii="Times New Roman" w:hAnsi="Times New Roman" w:cs="Times New Roman"/>
          <w:sz w:val="24"/>
          <w:szCs w:val="24"/>
        </w:rPr>
        <w:t>shareowner</w:t>
      </w:r>
      <w:r w:rsidRPr="00E33B3A">
        <w:rPr>
          <w:rFonts w:ascii="Times New Roman" w:hAnsi="Times New Roman" w:cs="Times New Roman"/>
          <w:sz w:val="24"/>
          <w:szCs w:val="24"/>
        </w:rPr>
        <w:t>s</w:t>
      </w:r>
      <w:r>
        <w:rPr>
          <w:rFonts w:ascii="Times New Roman" w:hAnsi="Times New Roman" w:cs="Times New Roman"/>
          <w:sz w:val="24"/>
          <w:szCs w:val="24"/>
        </w:rPr>
        <w:t>.</w:t>
      </w:r>
      <w:r>
        <w:rPr>
          <w:rStyle w:val="FootnoteReference"/>
          <w:rFonts w:ascii="Times New Roman" w:hAnsi="Times New Roman"/>
          <w:sz w:val="24"/>
          <w:szCs w:val="24"/>
        </w:rPr>
        <w:footnoteReference w:id="7"/>
      </w:r>
    </w:p>
    <w:p w14:paraId="4BF92536" w14:textId="7D0B5405" w:rsidR="00455117" w:rsidRPr="00455117" w:rsidRDefault="00455117" w:rsidP="00355A59">
      <w:pPr>
        <w:pStyle w:val="ListParagraph"/>
        <w:numPr>
          <w:ilvl w:val="0"/>
          <w:numId w:val="5"/>
        </w:numPr>
        <w:spacing w:after="0" w:line="240" w:lineRule="auto"/>
        <w:rPr>
          <w:rFonts w:ascii="Times New Roman" w:hAnsi="Times New Roman" w:cs="Times New Roman"/>
          <w:color w:val="000000" w:themeColor="text1"/>
          <w:sz w:val="24"/>
          <w:szCs w:val="24"/>
        </w:rPr>
      </w:pPr>
      <w:r w:rsidRPr="00455117">
        <w:rPr>
          <w:rFonts w:ascii="Times New Roman" w:hAnsi="Times New Roman" w:cs="Times New Roman"/>
          <w:color w:val="000000" w:themeColor="text1"/>
          <w:sz w:val="24"/>
          <w:szCs w:val="24"/>
        </w:rPr>
        <w:t xml:space="preserve">RTX fails to provide any details of its state lobbying expenditures </w:t>
      </w:r>
      <w:r w:rsidR="00000DC1">
        <w:rPr>
          <w:rFonts w:ascii="Times New Roman" w:hAnsi="Times New Roman" w:cs="Times New Roman"/>
          <w:color w:val="000000" w:themeColor="text1"/>
          <w:sz w:val="24"/>
          <w:szCs w:val="24"/>
        </w:rPr>
        <w:t xml:space="preserve">in a report to shareowners </w:t>
      </w:r>
      <w:r w:rsidRPr="00455117">
        <w:rPr>
          <w:rFonts w:ascii="Times New Roman" w:hAnsi="Times New Roman" w:cs="Times New Roman"/>
          <w:color w:val="000000" w:themeColor="text1"/>
          <w:sz w:val="24"/>
          <w:szCs w:val="24"/>
        </w:rPr>
        <w:t xml:space="preserve">as requested by the proposal. RTX provides investors links to 14 state and city websites for Arizona, Colorado, Connecticut, Florida, Illinois, Iowa, Massachusetts. Michigan, New York City, North Carolina, Rhode Island, Texas, Virginia and West Virginia. This incomplete disclosure fails to provide the amounts, as requested. It also requires the user to look up RTX’s </w:t>
      </w:r>
      <w:r w:rsidR="002614E1">
        <w:rPr>
          <w:rFonts w:ascii="Times New Roman" w:hAnsi="Times New Roman" w:cs="Times New Roman"/>
          <w:color w:val="000000" w:themeColor="text1"/>
          <w:sz w:val="24"/>
          <w:szCs w:val="24"/>
        </w:rPr>
        <w:t xml:space="preserve">state </w:t>
      </w:r>
      <w:r w:rsidR="006E2757">
        <w:rPr>
          <w:rFonts w:ascii="Times New Roman" w:hAnsi="Times New Roman" w:cs="Times New Roman"/>
          <w:color w:val="000000" w:themeColor="text1"/>
          <w:sz w:val="24"/>
          <w:szCs w:val="24"/>
        </w:rPr>
        <w:t>lobbying</w:t>
      </w:r>
      <w:r w:rsidR="002614E1">
        <w:rPr>
          <w:rFonts w:ascii="Times New Roman" w:hAnsi="Times New Roman" w:cs="Times New Roman"/>
          <w:color w:val="000000" w:themeColor="text1"/>
          <w:sz w:val="24"/>
          <w:szCs w:val="24"/>
        </w:rPr>
        <w:t xml:space="preserve"> </w:t>
      </w:r>
      <w:r w:rsidRPr="00455117">
        <w:rPr>
          <w:rFonts w:ascii="Times New Roman" w:hAnsi="Times New Roman" w:cs="Times New Roman"/>
          <w:color w:val="000000" w:themeColor="text1"/>
          <w:sz w:val="24"/>
          <w:szCs w:val="24"/>
        </w:rPr>
        <w:t>reports.</w:t>
      </w:r>
    </w:p>
    <w:p w14:paraId="5C375DB4" w14:textId="2E1C80AB" w:rsidR="00355A59" w:rsidRPr="00DB1EC9" w:rsidRDefault="006E2757" w:rsidP="00355A59">
      <w:pPr>
        <w:pStyle w:val="ListParagraph"/>
        <w:numPr>
          <w:ilvl w:val="0"/>
          <w:numId w:val="5"/>
        </w:numPr>
        <w:spacing w:after="0" w:line="240" w:lineRule="auto"/>
        <w:rPr>
          <w:rFonts w:ascii="Times New Roman" w:hAnsi="Times New Roman" w:cs="Times New Roman"/>
          <w:b/>
          <w:bCs/>
          <w:color w:val="000000" w:themeColor="text1"/>
          <w:sz w:val="24"/>
          <w:szCs w:val="24"/>
        </w:rPr>
      </w:pPr>
      <w:r>
        <w:rPr>
          <w:rFonts w:ascii="Times New Roman" w:hAnsi="Times New Roman" w:cs="Times New Roman"/>
          <w:sz w:val="24"/>
          <w:szCs w:val="24"/>
        </w:rPr>
        <w:t>O</w:t>
      </w:r>
      <w:r w:rsidR="00355A59" w:rsidRPr="00BE3B5D">
        <w:rPr>
          <w:rFonts w:ascii="Times New Roman" w:hAnsi="Times New Roman" w:cs="Times New Roman"/>
          <w:sz w:val="24"/>
          <w:szCs w:val="24"/>
        </w:rPr>
        <w:t xml:space="preserve">btaining comprehensive state lobbying information is described by an expert </w:t>
      </w:r>
      <w:r w:rsidR="00355A59" w:rsidRPr="00BE3B5D">
        <w:rPr>
          <w:rFonts w:ascii="Times New Roman" w:eastAsia="Times New Roman" w:hAnsi="Times New Roman" w:cs="Times New Roman"/>
          <w:color w:val="000000" w:themeColor="text1"/>
          <w:sz w:val="24"/>
          <w:szCs w:val="24"/>
        </w:rPr>
        <w:t>as “nearly impossible” given “the ‘Byzantine’ manner in which the data is captured and made available online” which effectively buries information across many states’ websites</w:t>
      </w:r>
      <w:r w:rsidR="00355A59" w:rsidRPr="00BE3B5D">
        <w:rPr>
          <w:rFonts w:ascii="Times New Roman" w:eastAsia="Times New Roman" w:hAnsi="Times New Roman" w:cs="Times New Roman"/>
          <w:sz w:val="24"/>
          <w:szCs w:val="24"/>
        </w:rPr>
        <w:t>.</w:t>
      </w:r>
      <w:r w:rsidR="00355A59" w:rsidRPr="00BE3B5D">
        <w:rPr>
          <w:rFonts w:ascii="Times New Roman" w:hAnsi="Times New Roman" w:cs="Times New Roman"/>
          <w:sz w:val="24"/>
          <w:szCs w:val="24"/>
          <w:vertAlign w:val="superscript"/>
        </w:rPr>
        <w:footnoteReference w:id="8"/>
      </w:r>
    </w:p>
    <w:p w14:paraId="4D0DF067" w14:textId="3D778107" w:rsidR="00DB1EC9" w:rsidRPr="009B3A7C" w:rsidRDefault="00DB1EC9" w:rsidP="00355A59">
      <w:pPr>
        <w:pStyle w:val="ListParagraph"/>
        <w:numPr>
          <w:ilvl w:val="0"/>
          <w:numId w:val="5"/>
        </w:num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sz w:val="24"/>
          <w:szCs w:val="24"/>
        </w:rPr>
        <w:t>RTX has its state lobbying expenditures and could easily provide this to shareowners in a report as requested</w:t>
      </w:r>
      <w:r w:rsidR="0058010B">
        <w:rPr>
          <w:rFonts w:ascii="Times New Roman" w:eastAsia="Times New Roman" w:hAnsi="Times New Roman" w:cs="Times New Roman"/>
          <w:sz w:val="24"/>
          <w:szCs w:val="24"/>
        </w:rPr>
        <w:t xml:space="preserve">, rather </w:t>
      </w:r>
      <w:r w:rsidR="00922341">
        <w:rPr>
          <w:rFonts w:ascii="Times New Roman" w:eastAsia="Times New Roman" w:hAnsi="Times New Roman" w:cs="Times New Roman"/>
          <w:sz w:val="24"/>
          <w:szCs w:val="24"/>
        </w:rPr>
        <w:t>than force shareowners to search for this information.</w:t>
      </w:r>
    </w:p>
    <w:p w14:paraId="31296FA4" w14:textId="77777777" w:rsidR="009B3A7C" w:rsidRDefault="009B3A7C" w:rsidP="009B3A7C">
      <w:pPr>
        <w:spacing w:after="0" w:line="240" w:lineRule="auto"/>
        <w:rPr>
          <w:rFonts w:ascii="Times New Roman" w:hAnsi="Times New Roman" w:cs="Times New Roman"/>
          <w:b/>
          <w:bCs/>
          <w:color w:val="000000" w:themeColor="text1"/>
          <w:sz w:val="24"/>
          <w:szCs w:val="24"/>
        </w:rPr>
      </w:pPr>
    </w:p>
    <w:p w14:paraId="3719D384" w14:textId="77777777" w:rsidR="009B3A7C" w:rsidRDefault="009B3A7C" w:rsidP="009B3A7C">
      <w:pPr>
        <w:spacing w:after="0" w:line="240" w:lineRule="auto"/>
        <w:rPr>
          <w:rFonts w:ascii="Times New Roman" w:eastAsia="Times New Roman" w:hAnsi="Times New Roman" w:cs="Times New Roman"/>
          <w:b/>
          <w:bCs/>
          <w:color w:val="000000" w:themeColor="text1"/>
          <w:sz w:val="24"/>
          <w:szCs w:val="24"/>
        </w:rPr>
      </w:pPr>
      <w:r w:rsidRPr="00AF19E9">
        <w:rPr>
          <w:rFonts w:ascii="Times New Roman" w:eastAsia="Times New Roman" w:hAnsi="Times New Roman" w:cs="Times New Roman"/>
          <w:b/>
          <w:bCs/>
          <w:color w:val="000000" w:themeColor="text1"/>
          <w:sz w:val="24"/>
          <w:szCs w:val="24"/>
        </w:rPr>
        <w:t>International Lobbying</w:t>
      </w:r>
      <w:r>
        <w:rPr>
          <w:rFonts w:ascii="Times New Roman" w:eastAsia="Times New Roman" w:hAnsi="Times New Roman" w:cs="Times New Roman"/>
          <w:b/>
          <w:bCs/>
          <w:color w:val="000000" w:themeColor="text1"/>
          <w:sz w:val="24"/>
          <w:szCs w:val="24"/>
        </w:rPr>
        <w:t xml:space="preserve"> - </w:t>
      </w:r>
      <w:r>
        <w:rPr>
          <w:rFonts w:ascii="Times New Roman" w:hAnsi="Times New Roman" w:cs="Times New Roman"/>
          <w:b/>
          <w:sz w:val="24"/>
          <w:szCs w:val="24"/>
        </w:rPr>
        <w:t>Spending &amp; Trade Associations</w:t>
      </w:r>
    </w:p>
    <w:p w14:paraId="74D44B09" w14:textId="2607F0C5" w:rsidR="009B3A7C" w:rsidRPr="00E13C3A" w:rsidRDefault="009B3A7C" w:rsidP="009B3A7C">
      <w:pPr>
        <w:pStyle w:val="ListParagraph"/>
        <w:numPr>
          <w:ilvl w:val="0"/>
          <w:numId w:val="7"/>
        </w:num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RTX</w:t>
      </w:r>
      <w:r w:rsidRPr="00BE60CD">
        <w:rPr>
          <w:rFonts w:ascii="Times New Roman" w:eastAsia="Times New Roman" w:hAnsi="Times New Roman" w:cs="Times New Roman"/>
          <w:color w:val="000000" w:themeColor="text1"/>
          <w:sz w:val="24"/>
          <w:szCs w:val="24"/>
        </w:rPr>
        <w:t xml:space="preserve"> also</w:t>
      </w:r>
      <w:r w:rsidRPr="00BE60CD">
        <w:rPr>
          <w:rFonts w:ascii="Times New Roman" w:eastAsia="Times New Roman" w:hAnsi="Times New Roman" w:cs="Times New Roman"/>
          <w:b/>
          <w:bCs/>
          <w:color w:val="000000" w:themeColor="text1"/>
          <w:sz w:val="24"/>
          <w:szCs w:val="24"/>
        </w:rPr>
        <w:t xml:space="preserve"> </w:t>
      </w:r>
      <w:r w:rsidRPr="00BE60CD">
        <w:rPr>
          <w:rFonts w:ascii="Times New Roman" w:eastAsia="Times New Roman" w:hAnsi="Times New Roman" w:cs="Times New Roman"/>
          <w:color w:val="000000" w:themeColor="text1"/>
          <w:sz w:val="24"/>
          <w:szCs w:val="24"/>
        </w:rPr>
        <w:t>lobbies abroad, spending between €</w:t>
      </w:r>
      <w:r w:rsidR="00395D42">
        <w:rPr>
          <w:rFonts w:ascii="Times New Roman" w:eastAsia="Times New Roman" w:hAnsi="Times New Roman" w:cs="Times New Roman"/>
          <w:color w:val="000000" w:themeColor="text1"/>
          <w:sz w:val="24"/>
          <w:szCs w:val="24"/>
        </w:rPr>
        <w:t>1</w:t>
      </w:r>
      <w:r w:rsidRPr="00BE60CD">
        <w:rPr>
          <w:rFonts w:ascii="Times New Roman" w:eastAsia="Times New Roman" w:hAnsi="Times New Roman" w:cs="Times New Roman"/>
          <w:color w:val="000000" w:themeColor="text1"/>
          <w:sz w:val="24"/>
          <w:szCs w:val="24"/>
        </w:rPr>
        <w:t>00,000 – €</w:t>
      </w:r>
      <w:r w:rsidR="00395D42">
        <w:rPr>
          <w:rFonts w:ascii="Times New Roman" w:eastAsia="Times New Roman" w:hAnsi="Times New Roman" w:cs="Times New Roman"/>
          <w:color w:val="000000" w:themeColor="text1"/>
          <w:sz w:val="24"/>
          <w:szCs w:val="24"/>
        </w:rPr>
        <w:t>1</w:t>
      </w:r>
      <w:r w:rsidRPr="00BE60CD">
        <w:rPr>
          <w:rFonts w:ascii="Times New Roman" w:eastAsia="Times New Roman" w:hAnsi="Times New Roman" w:cs="Times New Roman"/>
          <w:color w:val="000000" w:themeColor="text1"/>
          <w:sz w:val="24"/>
          <w:szCs w:val="24"/>
        </w:rPr>
        <w:t>99,000 on lobbying in Europe for 202</w:t>
      </w:r>
      <w:r>
        <w:rPr>
          <w:rFonts w:ascii="Times New Roman" w:eastAsia="Times New Roman" w:hAnsi="Times New Roman" w:cs="Times New Roman"/>
          <w:color w:val="000000" w:themeColor="text1"/>
          <w:sz w:val="24"/>
          <w:szCs w:val="24"/>
        </w:rPr>
        <w:t>3</w:t>
      </w:r>
      <w:r w:rsidRPr="00BE60CD">
        <w:rPr>
          <w:rFonts w:ascii="Times New Roman" w:eastAsia="Times New Roman" w:hAnsi="Times New Roman" w:cs="Times New Roman"/>
          <w:color w:val="000000" w:themeColor="text1"/>
          <w:sz w:val="24"/>
          <w:szCs w:val="24"/>
        </w:rPr>
        <w:t>.</w:t>
      </w:r>
      <w:r w:rsidRPr="00BE60CD">
        <w:rPr>
          <w:rStyle w:val="FootnoteReference"/>
          <w:rFonts w:ascii="Times New Roman" w:eastAsia="Times New Roman" w:hAnsi="Times New Roman"/>
          <w:color w:val="000000" w:themeColor="text1"/>
          <w:sz w:val="24"/>
          <w:szCs w:val="24"/>
        </w:rPr>
        <w:footnoteReference w:id="9"/>
      </w:r>
    </w:p>
    <w:p w14:paraId="0F4FA18B" w14:textId="0D469C0F" w:rsidR="009B3A7C" w:rsidRPr="00D265E7" w:rsidRDefault="00395D42" w:rsidP="009B3A7C">
      <w:pPr>
        <w:pStyle w:val="ListParagraph"/>
        <w:numPr>
          <w:ilvl w:val="0"/>
          <w:numId w:val="7"/>
        </w:num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RTX</w:t>
      </w:r>
      <w:r w:rsidR="009B3A7C" w:rsidRPr="00E13C3A">
        <w:rPr>
          <w:rFonts w:ascii="Times New Roman" w:eastAsia="Times New Roman" w:hAnsi="Times New Roman" w:cs="Times New Roman"/>
          <w:color w:val="000000" w:themeColor="text1"/>
          <w:sz w:val="24"/>
          <w:szCs w:val="24"/>
        </w:rPr>
        <w:t xml:space="preserve"> </w:t>
      </w:r>
      <w:r w:rsidR="009B3A7C" w:rsidRPr="00E13C3A">
        <w:rPr>
          <w:rFonts w:ascii="Times New Roman" w:hAnsi="Times New Roman" w:cs="Times New Roman"/>
          <w:sz w:val="24"/>
          <w:szCs w:val="24"/>
        </w:rPr>
        <w:t>is also a member of international trade associations that lobby</w:t>
      </w:r>
      <w:r w:rsidR="00334E62">
        <w:rPr>
          <w:rFonts w:ascii="Times New Roman" w:hAnsi="Times New Roman" w:cs="Times New Roman"/>
          <w:sz w:val="24"/>
          <w:szCs w:val="24"/>
        </w:rPr>
        <w:t>,</w:t>
      </w:r>
      <w:r w:rsidR="009B3A7C" w:rsidRPr="00E13C3A">
        <w:rPr>
          <w:rFonts w:ascii="Times New Roman" w:hAnsi="Times New Roman" w:cs="Times New Roman"/>
          <w:sz w:val="24"/>
          <w:szCs w:val="24"/>
        </w:rPr>
        <w:t xml:space="preserve"> like </w:t>
      </w:r>
      <w:r w:rsidR="009B3A7C">
        <w:rPr>
          <w:rFonts w:ascii="Times New Roman" w:hAnsi="Times New Roman" w:cs="Times New Roman"/>
          <w:sz w:val="24"/>
          <w:szCs w:val="24"/>
        </w:rPr>
        <w:t xml:space="preserve">the </w:t>
      </w:r>
      <w:r w:rsidR="009B3A7C" w:rsidRPr="002C44E0">
        <w:rPr>
          <w:rFonts w:ascii="Times New Roman" w:hAnsi="Times New Roman" w:cs="Times New Roman"/>
          <w:sz w:val="24"/>
          <w:szCs w:val="24"/>
        </w:rPr>
        <w:t>American Chamber of Commerce to the European Union</w:t>
      </w:r>
      <w:r w:rsidR="00CA67DC">
        <w:rPr>
          <w:rFonts w:ascii="Times New Roman" w:hAnsi="Times New Roman" w:cs="Times New Roman"/>
          <w:sz w:val="24"/>
          <w:szCs w:val="24"/>
        </w:rPr>
        <w:t>.</w:t>
      </w:r>
      <w:r w:rsidR="00DC444F">
        <w:rPr>
          <w:rStyle w:val="FootnoteReference"/>
          <w:rFonts w:ascii="Times New Roman" w:hAnsi="Times New Roman"/>
          <w:sz w:val="24"/>
          <w:szCs w:val="24"/>
        </w:rPr>
        <w:footnoteReference w:id="10"/>
      </w:r>
    </w:p>
    <w:p w14:paraId="2BC81D53" w14:textId="77777777" w:rsidR="009B3A7C" w:rsidRPr="009B3A7C" w:rsidRDefault="009B3A7C" w:rsidP="009B3A7C">
      <w:pPr>
        <w:spacing w:after="0" w:line="240" w:lineRule="auto"/>
        <w:rPr>
          <w:rFonts w:ascii="Times New Roman" w:hAnsi="Times New Roman" w:cs="Times New Roman"/>
          <w:b/>
          <w:bCs/>
          <w:color w:val="000000" w:themeColor="text1"/>
          <w:sz w:val="24"/>
          <w:szCs w:val="24"/>
        </w:rPr>
      </w:pPr>
    </w:p>
    <w:p w14:paraId="2CE780F0" w14:textId="77777777" w:rsidR="00A47C66" w:rsidRPr="001F78B0" w:rsidRDefault="00A47C66" w:rsidP="00A47C66">
      <w:pPr>
        <w:pStyle w:val="ListParagraph"/>
        <w:spacing w:line="240" w:lineRule="auto"/>
        <w:rPr>
          <w:rFonts w:ascii="Times New Roman" w:hAnsi="Times New Roman" w:cs="Times New Roman"/>
          <w:b/>
          <w:bCs/>
          <w:color w:val="000000" w:themeColor="text1"/>
          <w:sz w:val="24"/>
          <w:szCs w:val="24"/>
        </w:rPr>
      </w:pPr>
    </w:p>
    <w:p w14:paraId="7D332A1C" w14:textId="2FF5859B" w:rsidR="003000CD" w:rsidRPr="00A47C66" w:rsidRDefault="003000CD" w:rsidP="00A47C66">
      <w:pPr>
        <w:pStyle w:val="ListParagraph"/>
        <w:numPr>
          <w:ilvl w:val="0"/>
          <w:numId w:val="18"/>
        </w:numPr>
        <w:tabs>
          <w:tab w:val="left" w:pos="720"/>
        </w:tabs>
        <w:spacing w:line="240" w:lineRule="auto"/>
        <w:rPr>
          <w:rFonts w:ascii="Times New Roman" w:eastAsia="Times New Roman" w:hAnsi="Times New Roman" w:cs="Times New Roman"/>
          <w:b/>
          <w:bCs/>
          <w:color w:val="000000" w:themeColor="text1"/>
          <w:sz w:val="28"/>
          <w:szCs w:val="28"/>
        </w:rPr>
      </w:pPr>
      <w:r w:rsidRPr="00A47C66">
        <w:rPr>
          <w:rFonts w:ascii="Times New Roman" w:eastAsia="Times New Roman" w:hAnsi="Times New Roman" w:cs="Times New Roman"/>
          <w:b/>
          <w:bCs/>
          <w:color w:val="000000" w:themeColor="text1"/>
          <w:sz w:val="28"/>
          <w:szCs w:val="28"/>
        </w:rPr>
        <w:lastRenderedPageBreak/>
        <w:t xml:space="preserve">The Company We Keep: </w:t>
      </w:r>
      <w:r w:rsidR="00B228D6">
        <w:rPr>
          <w:rFonts w:ascii="Times New Roman" w:eastAsia="Times New Roman" w:hAnsi="Times New Roman" w:cs="Times New Roman"/>
          <w:b/>
          <w:bCs/>
          <w:color w:val="000000" w:themeColor="text1"/>
          <w:sz w:val="28"/>
          <w:szCs w:val="28"/>
        </w:rPr>
        <w:t>RTX</w:t>
      </w:r>
      <w:r w:rsidRPr="00A47C66">
        <w:rPr>
          <w:rFonts w:ascii="Times New Roman" w:eastAsia="Times New Roman" w:hAnsi="Times New Roman" w:cs="Times New Roman"/>
          <w:b/>
          <w:bCs/>
          <w:color w:val="000000" w:themeColor="text1"/>
          <w:sz w:val="28"/>
          <w:szCs w:val="28"/>
        </w:rPr>
        <w:t xml:space="preserve"> Does Not Provide Comprehensive Dark Money Disclosure</w:t>
      </w:r>
    </w:p>
    <w:p w14:paraId="2EE36BD5" w14:textId="00011980" w:rsidR="003000CD" w:rsidRPr="00CC3C6B" w:rsidRDefault="00ED1A2D" w:rsidP="003000CD">
      <w:pPr>
        <w:pStyle w:val="ListParagraph"/>
        <w:numPr>
          <w:ilvl w:val="0"/>
          <w:numId w:val="8"/>
        </w:numPr>
        <w:tabs>
          <w:tab w:val="left" w:pos="720"/>
        </w:tabs>
        <w:spacing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4"/>
          <w:szCs w:val="24"/>
        </w:rPr>
        <w:t>Shareowner</w:t>
      </w:r>
      <w:r w:rsidR="003000CD" w:rsidRPr="00CC3C6B">
        <w:rPr>
          <w:rFonts w:ascii="Times New Roman" w:eastAsia="Times New Roman" w:hAnsi="Times New Roman" w:cs="Times New Roman"/>
          <w:color w:val="000000" w:themeColor="text1"/>
          <w:sz w:val="24"/>
          <w:szCs w:val="24"/>
        </w:rPr>
        <w:t xml:space="preserve"> proposals for lobbying disclosure capture dark money spending where there are no limits on what a company can give, whether through trade associations </w:t>
      </w:r>
      <w:r w:rsidR="003000CD">
        <w:rPr>
          <w:rFonts w:ascii="Times New Roman" w:eastAsia="Times New Roman" w:hAnsi="Times New Roman" w:cs="Times New Roman"/>
          <w:color w:val="000000" w:themeColor="text1"/>
          <w:sz w:val="24"/>
          <w:szCs w:val="24"/>
        </w:rPr>
        <w:t xml:space="preserve">(TAs) </w:t>
      </w:r>
      <w:r w:rsidR="003000CD" w:rsidRPr="00CC3C6B">
        <w:rPr>
          <w:rFonts w:ascii="Times New Roman" w:eastAsia="Times New Roman" w:hAnsi="Times New Roman" w:cs="Times New Roman"/>
          <w:color w:val="000000" w:themeColor="text1"/>
          <w:sz w:val="24"/>
          <w:szCs w:val="24"/>
        </w:rPr>
        <w:t>or social welfare group</w:t>
      </w:r>
      <w:r w:rsidR="003000CD">
        <w:rPr>
          <w:rFonts w:ascii="Times New Roman" w:eastAsia="Times New Roman" w:hAnsi="Times New Roman" w:cs="Times New Roman"/>
          <w:color w:val="000000" w:themeColor="text1"/>
          <w:sz w:val="24"/>
          <w:szCs w:val="24"/>
        </w:rPr>
        <w:t xml:space="preserve"> (SWG</w:t>
      </w:r>
      <w:r w:rsidR="003000CD" w:rsidRPr="00CC3C6B">
        <w:rPr>
          <w:rFonts w:ascii="Times New Roman" w:eastAsia="Times New Roman" w:hAnsi="Times New Roman" w:cs="Times New Roman"/>
          <w:color w:val="000000" w:themeColor="text1"/>
          <w:sz w:val="24"/>
          <w:szCs w:val="24"/>
        </w:rPr>
        <w:t>s</w:t>
      </w:r>
      <w:r w:rsidR="003000CD">
        <w:rPr>
          <w:rFonts w:ascii="Times New Roman" w:eastAsia="Times New Roman" w:hAnsi="Times New Roman" w:cs="Times New Roman"/>
          <w:color w:val="000000" w:themeColor="text1"/>
          <w:sz w:val="24"/>
          <w:szCs w:val="24"/>
        </w:rPr>
        <w:t>)</w:t>
      </w:r>
      <w:r w:rsidR="003000CD" w:rsidRPr="00CC3C6B">
        <w:rPr>
          <w:rFonts w:ascii="Times New Roman" w:eastAsia="Times New Roman" w:hAnsi="Times New Roman" w:cs="Times New Roman"/>
          <w:color w:val="000000" w:themeColor="text1"/>
          <w:sz w:val="24"/>
          <w:szCs w:val="24"/>
        </w:rPr>
        <w:t xml:space="preserve">. While corporate donations to politicians and traditional PACs have strict limits, their payments to </w:t>
      </w:r>
      <w:r w:rsidR="003000CD">
        <w:rPr>
          <w:rFonts w:ascii="Times New Roman" w:eastAsia="Times New Roman" w:hAnsi="Times New Roman" w:cs="Times New Roman"/>
          <w:color w:val="000000" w:themeColor="text1"/>
          <w:sz w:val="24"/>
          <w:szCs w:val="24"/>
        </w:rPr>
        <w:t>TAs</w:t>
      </w:r>
      <w:r w:rsidR="003000CD" w:rsidRPr="00CC3C6B">
        <w:rPr>
          <w:rFonts w:ascii="Times New Roman" w:eastAsia="Times New Roman" w:hAnsi="Times New Roman" w:cs="Times New Roman"/>
          <w:color w:val="000000" w:themeColor="text1"/>
          <w:sz w:val="24"/>
          <w:szCs w:val="24"/>
        </w:rPr>
        <w:t xml:space="preserve"> and 501(c)(4) </w:t>
      </w:r>
      <w:r w:rsidR="003000CD">
        <w:rPr>
          <w:rFonts w:ascii="Times New Roman" w:eastAsia="Times New Roman" w:hAnsi="Times New Roman" w:cs="Times New Roman"/>
          <w:color w:val="000000" w:themeColor="text1"/>
          <w:sz w:val="24"/>
          <w:szCs w:val="24"/>
        </w:rPr>
        <w:t>SWGs</w:t>
      </w:r>
      <w:r w:rsidR="003000CD" w:rsidRPr="00CC3C6B">
        <w:rPr>
          <w:rFonts w:ascii="Times New Roman" w:eastAsia="Times New Roman" w:hAnsi="Times New Roman" w:cs="Times New Roman"/>
          <w:color w:val="000000" w:themeColor="text1"/>
          <w:sz w:val="24"/>
          <w:szCs w:val="24"/>
        </w:rPr>
        <w:t xml:space="preserve"> have no restrictions. Meaning companies can give unlimited amounts to third party groups that spend millions on lobbying and often undisclosed grassroots activity.</w:t>
      </w:r>
    </w:p>
    <w:p w14:paraId="65ACA75D" w14:textId="77777777" w:rsidR="003000CD" w:rsidRPr="00CC3C6B" w:rsidRDefault="003000CD" w:rsidP="003000CD">
      <w:pPr>
        <w:pStyle w:val="ListParagraph"/>
        <w:numPr>
          <w:ilvl w:val="0"/>
          <w:numId w:val="8"/>
        </w:numPr>
        <w:tabs>
          <w:tab w:val="left" w:pos="720"/>
        </w:tabs>
        <w:spacing w:line="240" w:lineRule="auto"/>
        <w:rPr>
          <w:rFonts w:ascii="Times New Roman" w:eastAsia="Times New Roman" w:hAnsi="Times New Roman" w:cs="Times New Roman"/>
          <w:b/>
          <w:bCs/>
          <w:color w:val="000000" w:themeColor="text1"/>
          <w:sz w:val="28"/>
          <w:szCs w:val="28"/>
        </w:rPr>
      </w:pPr>
      <w:r w:rsidRPr="00CC3C6B">
        <w:rPr>
          <w:rFonts w:ascii="Times New Roman" w:eastAsia="Times New Roman" w:hAnsi="Times New Roman" w:cs="Times New Roman"/>
          <w:color w:val="000000" w:themeColor="text1"/>
          <w:sz w:val="24"/>
          <w:szCs w:val="24"/>
        </w:rPr>
        <w:t>Undisclosed company payments dark money lobbying by trade associations and social welfare groups may be “</w:t>
      </w:r>
      <w:r w:rsidRPr="00CC3C6B">
        <w:rPr>
          <w:rFonts w:ascii="Times New Roman" w:hAnsi="Times New Roman" w:cs="Times New Roman"/>
          <w:sz w:val="24"/>
          <w:szCs w:val="24"/>
        </w:rPr>
        <w:t>at least double what is being reported.”</w:t>
      </w:r>
      <w:r w:rsidRPr="00C55720">
        <w:rPr>
          <w:rStyle w:val="FootnoteReference"/>
          <w:rFonts w:ascii="Times New Roman" w:hAnsi="Times New Roman"/>
          <w:sz w:val="24"/>
          <w:szCs w:val="24"/>
        </w:rPr>
        <w:footnoteReference w:id="11"/>
      </w:r>
      <w:r w:rsidRPr="00CC3C6B">
        <w:rPr>
          <w:rFonts w:ascii="Times New Roman" w:eastAsia="Times New Roman" w:hAnsi="Times New Roman" w:cs="Times New Roman"/>
          <w:color w:val="000000" w:themeColor="text1"/>
          <w:sz w:val="24"/>
          <w:szCs w:val="24"/>
        </w:rPr>
        <w:t xml:space="preserve"> In 2017, TAs and SWGs spent $535 million on disclosed lobbying and $675 million on unregulated efforts to influence public policy, including strategic consulting, broadcast advertising, media relations, social media posts, polling and funding for astroturf campaigns.</w:t>
      </w:r>
    </w:p>
    <w:p w14:paraId="2B9D8496" w14:textId="05BD73BB" w:rsidR="003000CD" w:rsidRDefault="003000CD" w:rsidP="003000CD">
      <w:pPr>
        <w:spacing w:after="0" w:line="240" w:lineRule="auto"/>
        <w:rPr>
          <w:rFonts w:ascii="Times New Roman" w:hAnsi="Times New Roman" w:cs="Times New Roman"/>
          <w:b/>
          <w:bCs/>
          <w:sz w:val="24"/>
          <w:szCs w:val="24"/>
        </w:rPr>
      </w:pPr>
      <w:r w:rsidRPr="00CC3C6B">
        <w:rPr>
          <w:rFonts w:ascii="Times New Roman" w:hAnsi="Times New Roman" w:cs="Times New Roman"/>
          <w:b/>
          <w:bCs/>
          <w:sz w:val="24"/>
          <w:szCs w:val="24"/>
        </w:rPr>
        <w:t>Trade Association</w:t>
      </w:r>
      <w:r w:rsidR="00970F56">
        <w:rPr>
          <w:rFonts w:ascii="Times New Roman" w:hAnsi="Times New Roman" w:cs="Times New Roman"/>
          <w:b/>
          <w:bCs/>
          <w:sz w:val="24"/>
          <w:szCs w:val="24"/>
        </w:rPr>
        <w:t xml:space="preserve">s – </w:t>
      </w:r>
      <w:r w:rsidR="006313B7">
        <w:rPr>
          <w:rFonts w:ascii="Times New Roman" w:hAnsi="Times New Roman" w:cs="Times New Roman"/>
          <w:b/>
          <w:bCs/>
          <w:sz w:val="24"/>
          <w:szCs w:val="24"/>
        </w:rPr>
        <w:t xml:space="preserve">RTX’s </w:t>
      </w:r>
      <w:r w:rsidR="00970F56">
        <w:rPr>
          <w:rFonts w:ascii="Times New Roman" w:hAnsi="Times New Roman" w:cs="Times New Roman"/>
          <w:b/>
          <w:bCs/>
          <w:sz w:val="24"/>
          <w:szCs w:val="24"/>
        </w:rPr>
        <w:t xml:space="preserve">Improved Disclosure </w:t>
      </w:r>
      <w:r w:rsidR="006313B7">
        <w:rPr>
          <w:rFonts w:ascii="Times New Roman" w:hAnsi="Times New Roman" w:cs="Times New Roman"/>
          <w:b/>
          <w:bCs/>
          <w:sz w:val="24"/>
          <w:szCs w:val="24"/>
        </w:rPr>
        <w:t xml:space="preserve">Leaves out </w:t>
      </w:r>
      <w:r w:rsidR="00970F56">
        <w:rPr>
          <w:rFonts w:ascii="Times New Roman" w:hAnsi="Times New Roman" w:cs="Times New Roman"/>
          <w:b/>
          <w:bCs/>
          <w:sz w:val="24"/>
          <w:szCs w:val="24"/>
        </w:rPr>
        <w:t xml:space="preserve"> Memberships</w:t>
      </w:r>
    </w:p>
    <w:p w14:paraId="303F64B9" w14:textId="04403EC0" w:rsidR="0012346C" w:rsidRDefault="003000CD" w:rsidP="003000CD">
      <w:pPr>
        <w:pStyle w:val="ListParagraph"/>
        <w:numPr>
          <w:ilvl w:val="0"/>
          <w:numId w:val="9"/>
        </w:numPr>
        <w:spacing w:after="0" w:line="240" w:lineRule="auto"/>
        <w:rPr>
          <w:rFonts w:ascii="Times New Roman" w:eastAsia="Times New Roman" w:hAnsi="Times New Roman" w:cs="Times New Roman"/>
          <w:sz w:val="24"/>
          <w:szCs w:val="24"/>
        </w:rPr>
      </w:pPr>
      <w:r w:rsidRPr="0012346C">
        <w:rPr>
          <w:rFonts w:ascii="Times New Roman" w:eastAsia="Times New Roman" w:hAnsi="Times New Roman" w:cs="Times New Roman"/>
          <w:sz w:val="24"/>
          <w:szCs w:val="24"/>
        </w:rPr>
        <w:t>Corporations make payments to trade associations that are used lobby indirectly on their behalf without specific disclosure or accountability. Trade associations spend hundreds of millions to lobby. For example, the US Chamber of Commerce has spent more than $1.</w:t>
      </w:r>
      <w:r w:rsidR="00F54A04">
        <w:rPr>
          <w:rFonts w:ascii="Times New Roman" w:eastAsia="Times New Roman" w:hAnsi="Times New Roman" w:cs="Times New Roman"/>
          <w:sz w:val="24"/>
          <w:szCs w:val="24"/>
        </w:rPr>
        <w:t>9</w:t>
      </w:r>
      <w:r w:rsidRPr="0012346C">
        <w:rPr>
          <w:rFonts w:ascii="Times New Roman" w:eastAsia="Times New Roman" w:hAnsi="Times New Roman" w:cs="Times New Roman"/>
          <w:sz w:val="24"/>
          <w:szCs w:val="24"/>
        </w:rPr>
        <w:t xml:space="preserve"> billion since 1998.</w:t>
      </w:r>
      <w:r w:rsidRPr="696EF02E">
        <w:rPr>
          <w:rStyle w:val="FootnoteReference"/>
          <w:rFonts w:ascii="Times New Roman" w:eastAsia="Times New Roman" w:hAnsi="Times New Roman"/>
          <w:sz w:val="24"/>
          <w:szCs w:val="24"/>
        </w:rPr>
        <w:footnoteReference w:id="12"/>
      </w:r>
    </w:p>
    <w:p w14:paraId="6876232B" w14:textId="1084333D" w:rsidR="0072641A" w:rsidRPr="00E349C7" w:rsidRDefault="00970F56" w:rsidP="0072641A">
      <w:pPr>
        <w:pStyle w:val="ListParagraph"/>
        <w:numPr>
          <w:ilvl w:val="0"/>
          <w:numId w:val="9"/>
        </w:numPr>
        <w:spacing w:after="0" w:line="240" w:lineRule="auto"/>
        <w:rPr>
          <w:rFonts w:ascii="Times New Roman" w:eastAsia="Times New Roman" w:hAnsi="Times New Roman" w:cs="Times New Roman"/>
          <w:sz w:val="24"/>
          <w:szCs w:val="24"/>
        </w:rPr>
      </w:pPr>
      <w:r w:rsidRPr="0072641A">
        <w:rPr>
          <w:rFonts w:ascii="Times New Roman" w:hAnsi="Times New Roman" w:cs="Times New Roman"/>
          <w:sz w:val="24"/>
          <w:szCs w:val="24"/>
        </w:rPr>
        <w:t>To its credit, RTX does now disclose its top limit of contribution to trade associations that lobby, beginning with its 2023 trade association disclosure.</w:t>
      </w:r>
      <w:r>
        <w:rPr>
          <w:rFonts w:ascii="Times New Roman" w:hAnsi="Times New Roman" w:cs="Times New Roman"/>
          <w:sz w:val="24"/>
          <w:szCs w:val="24"/>
        </w:rPr>
        <w:t xml:space="preserve"> Yet </w:t>
      </w:r>
      <w:r w:rsidR="00B228D6" w:rsidRPr="0072641A">
        <w:rPr>
          <w:rFonts w:ascii="Times New Roman" w:eastAsia="Times New Roman" w:hAnsi="Times New Roman" w:cs="Times New Roman"/>
          <w:sz w:val="24"/>
          <w:szCs w:val="24"/>
        </w:rPr>
        <w:t>RTX</w:t>
      </w:r>
      <w:r w:rsidR="003000CD" w:rsidRPr="0072641A">
        <w:rPr>
          <w:rFonts w:ascii="Times New Roman" w:eastAsia="Times New Roman" w:hAnsi="Times New Roman" w:cs="Times New Roman"/>
          <w:sz w:val="24"/>
          <w:szCs w:val="24"/>
        </w:rPr>
        <w:t xml:space="preserve"> </w:t>
      </w:r>
      <w:r w:rsidR="00ED1A2D" w:rsidRPr="0072641A">
        <w:rPr>
          <w:rFonts w:ascii="Times New Roman" w:eastAsia="Times New Roman" w:hAnsi="Times New Roman" w:cs="Times New Roman"/>
          <w:sz w:val="24"/>
          <w:szCs w:val="24"/>
        </w:rPr>
        <w:t>shareowner</w:t>
      </w:r>
      <w:r w:rsidR="003000CD" w:rsidRPr="0072641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still </w:t>
      </w:r>
      <w:r w:rsidR="003000CD" w:rsidRPr="0072641A">
        <w:rPr>
          <w:rFonts w:ascii="Times New Roman" w:eastAsia="Times New Roman" w:hAnsi="Times New Roman" w:cs="Times New Roman"/>
          <w:sz w:val="24"/>
          <w:szCs w:val="24"/>
        </w:rPr>
        <w:t xml:space="preserve">face a trade association blind spot, as </w:t>
      </w:r>
      <w:r w:rsidR="00B228D6" w:rsidRPr="0072641A">
        <w:rPr>
          <w:rFonts w:ascii="Times New Roman" w:eastAsia="Times New Roman" w:hAnsi="Times New Roman" w:cs="Times New Roman"/>
          <w:sz w:val="24"/>
          <w:szCs w:val="24"/>
        </w:rPr>
        <w:t>RTX</w:t>
      </w:r>
      <w:r w:rsidR="003000CD" w:rsidRPr="0072641A">
        <w:rPr>
          <w:rFonts w:ascii="Times New Roman" w:eastAsia="Times New Roman" w:hAnsi="Times New Roman" w:cs="Times New Roman"/>
          <w:sz w:val="24"/>
          <w:szCs w:val="24"/>
        </w:rPr>
        <w:t xml:space="preserve"> fails to </w:t>
      </w:r>
      <w:r w:rsidR="0072641A">
        <w:rPr>
          <w:rFonts w:ascii="Times New Roman" w:eastAsia="Times New Roman" w:hAnsi="Times New Roman" w:cs="Times New Roman"/>
          <w:sz w:val="24"/>
          <w:szCs w:val="24"/>
        </w:rPr>
        <w:t>comprehensiv</w:t>
      </w:r>
      <w:r w:rsidR="00E349C7">
        <w:rPr>
          <w:rFonts w:ascii="Times New Roman" w:eastAsia="Times New Roman" w:hAnsi="Times New Roman" w:cs="Times New Roman"/>
          <w:sz w:val="24"/>
          <w:szCs w:val="24"/>
        </w:rPr>
        <w:t xml:space="preserve">ely </w:t>
      </w:r>
      <w:r w:rsidR="003000CD" w:rsidRPr="0072641A">
        <w:rPr>
          <w:rFonts w:ascii="Times New Roman" w:eastAsia="Times New Roman" w:hAnsi="Times New Roman" w:cs="Times New Roman"/>
          <w:sz w:val="24"/>
          <w:szCs w:val="24"/>
        </w:rPr>
        <w:t xml:space="preserve">disclose </w:t>
      </w:r>
      <w:r w:rsidR="00A4472F" w:rsidRPr="0072641A">
        <w:rPr>
          <w:rFonts w:ascii="Times New Roman" w:eastAsia="Times New Roman" w:hAnsi="Times New Roman" w:cs="Times New Roman"/>
          <w:sz w:val="24"/>
          <w:szCs w:val="24"/>
        </w:rPr>
        <w:t>all of its trad</w:t>
      </w:r>
      <w:r w:rsidR="00F36D63" w:rsidRPr="0072641A">
        <w:rPr>
          <w:rFonts w:ascii="Times New Roman" w:eastAsia="Times New Roman" w:hAnsi="Times New Roman" w:cs="Times New Roman"/>
          <w:sz w:val="24"/>
          <w:szCs w:val="24"/>
        </w:rPr>
        <w:t>e associations</w:t>
      </w:r>
      <w:r w:rsidR="003000CD" w:rsidRPr="0072641A">
        <w:rPr>
          <w:rFonts w:ascii="Times New Roman" w:eastAsia="Times New Roman" w:hAnsi="Times New Roman" w:cs="Times New Roman"/>
          <w:sz w:val="24"/>
          <w:szCs w:val="24"/>
        </w:rPr>
        <w:t xml:space="preserve">. </w:t>
      </w:r>
    </w:p>
    <w:p w14:paraId="013C257F" w14:textId="3DDE7F71" w:rsidR="00E349C7" w:rsidRPr="00BC41F0" w:rsidRDefault="00333CDB" w:rsidP="0072641A">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349C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list </w:t>
      </w:r>
      <w:r w:rsidR="00E349C7">
        <w:rPr>
          <w:rFonts w:ascii="Times New Roman" w:eastAsia="Times New Roman" w:hAnsi="Times New Roman" w:cs="Times New Roman"/>
          <w:sz w:val="24"/>
          <w:szCs w:val="24"/>
        </w:rPr>
        <w:t xml:space="preserve">includes </w:t>
      </w:r>
      <w:r w:rsidR="001A6AD3">
        <w:rPr>
          <w:rFonts w:ascii="Times New Roman" w:eastAsia="Times New Roman" w:hAnsi="Times New Roman" w:cs="Times New Roman"/>
          <w:sz w:val="24"/>
          <w:szCs w:val="24"/>
        </w:rPr>
        <w:t xml:space="preserve">the </w:t>
      </w:r>
      <w:r w:rsidR="001A6AD3" w:rsidRPr="00FA3477">
        <w:rPr>
          <w:rFonts w:ascii="Times New Roman" w:hAnsi="Times New Roman" w:cs="Times New Roman"/>
          <w:sz w:val="24"/>
          <w:szCs w:val="24"/>
        </w:rPr>
        <w:t>Aerospace Industries Association, Business Roundtable, General Aviation Management Association, HR Policy Association, National Association of Manufacturers and US Chamber of Commerce, which together spent more than $</w:t>
      </w:r>
      <w:r w:rsidR="00BF7C1F">
        <w:rPr>
          <w:rFonts w:ascii="Times New Roman" w:hAnsi="Times New Roman" w:cs="Times New Roman"/>
          <w:sz w:val="24"/>
          <w:szCs w:val="24"/>
        </w:rPr>
        <w:t>107</w:t>
      </w:r>
      <w:r w:rsidR="00314C43">
        <w:rPr>
          <w:rFonts w:ascii="Times New Roman" w:hAnsi="Times New Roman" w:cs="Times New Roman"/>
          <w:sz w:val="24"/>
          <w:szCs w:val="24"/>
        </w:rPr>
        <w:t xml:space="preserve"> </w:t>
      </w:r>
      <w:r w:rsidR="001A6AD3" w:rsidRPr="00BC41F0">
        <w:rPr>
          <w:rFonts w:ascii="Times New Roman" w:hAnsi="Times New Roman" w:cs="Times New Roman"/>
          <w:sz w:val="24"/>
          <w:szCs w:val="24"/>
        </w:rPr>
        <w:t>million on federal lobbying for 202</w:t>
      </w:r>
      <w:r w:rsidR="00314C43" w:rsidRPr="00BC41F0">
        <w:rPr>
          <w:rFonts w:ascii="Times New Roman" w:hAnsi="Times New Roman" w:cs="Times New Roman"/>
          <w:sz w:val="24"/>
          <w:szCs w:val="24"/>
        </w:rPr>
        <w:t>3</w:t>
      </w:r>
      <w:r w:rsidR="001A6AD3" w:rsidRPr="00BC41F0">
        <w:rPr>
          <w:rFonts w:ascii="Times New Roman" w:hAnsi="Times New Roman" w:cs="Times New Roman"/>
          <w:sz w:val="24"/>
          <w:szCs w:val="24"/>
        </w:rPr>
        <w:t>.</w:t>
      </w:r>
    </w:p>
    <w:p w14:paraId="2423DFCD" w14:textId="6DF34A85" w:rsidR="00FB0A76" w:rsidRPr="00BC41F0" w:rsidRDefault="00314C43" w:rsidP="0072641A">
      <w:pPr>
        <w:pStyle w:val="ListParagraph"/>
        <w:numPr>
          <w:ilvl w:val="0"/>
          <w:numId w:val="9"/>
        </w:numPr>
        <w:spacing w:after="0" w:line="240" w:lineRule="auto"/>
        <w:rPr>
          <w:rFonts w:ascii="Times New Roman" w:eastAsia="Times New Roman" w:hAnsi="Times New Roman" w:cs="Times New Roman"/>
          <w:sz w:val="24"/>
          <w:szCs w:val="24"/>
        </w:rPr>
      </w:pPr>
      <w:r w:rsidRPr="00BC41F0">
        <w:rPr>
          <w:rFonts w:ascii="Times New Roman" w:hAnsi="Times New Roman" w:cs="Times New Roman"/>
          <w:sz w:val="24"/>
          <w:szCs w:val="24"/>
        </w:rPr>
        <w:t xml:space="preserve">Yet </w:t>
      </w:r>
      <w:r w:rsidR="0072641A" w:rsidRPr="00BC41F0">
        <w:rPr>
          <w:rFonts w:ascii="Times New Roman" w:hAnsi="Times New Roman" w:cs="Times New Roman"/>
          <w:sz w:val="24"/>
          <w:szCs w:val="24"/>
        </w:rPr>
        <w:t>RTX</w:t>
      </w:r>
      <w:r w:rsidR="0072641A" w:rsidRPr="00BC41F0">
        <w:rPr>
          <w:rFonts w:ascii="Times New Roman" w:hAnsi="Times New Roman" w:cs="Times New Roman"/>
          <w:sz w:val="24"/>
          <w:szCs w:val="24"/>
        </w:rPr>
        <w:t xml:space="preserve">’s disclosure </w:t>
      </w:r>
      <w:r w:rsidRPr="00BC41F0">
        <w:rPr>
          <w:rFonts w:ascii="Times New Roman" w:hAnsi="Times New Roman" w:cs="Times New Roman"/>
          <w:sz w:val="24"/>
          <w:szCs w:val="24"/>
        </w:rPr>
        <w:t xml:space="preserve">still </w:t>
      </w:r>
      <w:r w:rsidR="0072641A" w:rsidRPr="00BC41F0">
        <w:rPr>
          <w:rFonts w:ascii="Times New Roman" w:hAnsi="Times New Roman" w:cs="Times New Roman"/>
          <w:sz w:val="24"/>
          <w:szCs w:val="24"/>
        </w:rPr>
        <w:t xml:space="preserve">leaves out </w:t>
      </w:r>
      <w:r w:rsidR="0043025D" w:rsidRPr="00BC41F0">
        <w:rPr>
          <w:rFonts w:ascii="Times New Roman" w:hAnsi="Times New Roman" w:cs="Times New Roman"/>
          <w:sz w:val="24"/>
          <w:szCs w:val="24"/>
        </w:rPr>
        <w:t>pay</w:t>
      </w:r>
      <w:r w:rsidR="008F1002" w:rsidRPr="00BC41F0">
        <w:rPr>
          <w:rFonts w:ascii="Times New Roman" w:hAnsi="Times New Roman" w:cs="Times New Roman"/>
          <w:sz w:val="24"/>
          <w:szCs w:val="24"/>
        </w:rPr>
        <w:t xml:space="preserve">ments </w:t>
      </w:r>
      <w:r w:rsidR="00333CDB">
        <w:rPr>
          <w:rFonts w:ascii="Times New Roman" w:hAnsi="Times New Roman" w:cs="Times New Roman"/>
          <w:sz w:val="24"/>
          <w:szCs w:val="24"/>
        </w:rPr>
        <w:t xml:space="preserve">to </w:t>
      </w:r>
      <w:r w:rsidR="008F1002" w:rsidRPr="00BC41F0">
        <w:rPr>
          <w:rFonts w:ascii="Times New Roman" w:hAnsi="Times New Roman" w:cs="Times New Roman"/>
          <w:sz w:val="24"/>
          <w:szCs w:val="24"/>
        </w:rPr>
        <w:t xml:space="preserve">and </w:t>
      </w:r>
      <w:r w:rsidR="0072641A" w:rsidRPr="00BC41F0">
        <w:rPr>
          <w:rFonts w:ascii="Times New Roman" w:hAnsi="Times New Roman" w:cs="Times New Roman"/>
          <w:sz w:val="24"/>
          <w:szCs w:val="24"/>
        </w:rPr>
        <w:t>memberships in major trade associations that lobby, including the</w:t>
      </w:r>
      <w:r w:rsidR="001E787F" w:rsidRPr="00BC41F0">
        <w:rPr>
          <w:rFonts w:ascii="Times New Roman" w:hAnsi="Times New Roman" w:cs="Times New Roman"/>
          <w:sz w:val="24"/>
          <w:szCs w:val="24"/>
        </w:rPr>
        <w:t xml:space="preserve"> </w:t>
      </w:r>
      <w:r w:rsidR="001E787F" w:rsidRPr="00BC41F0">
        <w:rPr>
          <w:rFonts w:ascii="Times New Roman" w:hAnsi="Times New Roman" w:cs="Times New Roman"/>
          <w:sz w:val="24"/>
          <w:szCs w:val="24"/>
        </w:rPr>
        <w:t>American Benefits Council, Associated Industries of Massachusetts,</w:t>
      </w:r>
      <w:r w:rsidR="00BC41F0" w:rsidRPr="00BC41F0">
        <w:rPr>
          <w:rFonts w:ascii="Times New Roman" w:hAnsi="Times New Roman" w:cs="Times New Roman"/>
          <w:sz w:val="24"/>
          <w:szCs w:val="24"/>
        </w:rPr>
        <w:t xml:space="preserve"> </w:t>
      </w:r>
      <w:r w:rsidR="00BC41F0" w:rsidRPr="00BC41F0">
        <w:rPr>
          <w:rFonts w:ascii="Times New Roman" w:hAnsi="Times New Roman" w:cs="Times New Roman"/>
          <w:sz w:val="24"/>
          <w:szCs w:val="24"/>
        </w:rPr>
        <w:t>Massachusetts Business Roundtable, Massachusetts High Technology Council and New England Council</w:t>
      </w:r>
      <w:r w:rsidR="006A0204" w:rsidRPr="00BC41F0">
        <w:rPr>
          <w:rFonts w:ascii="Times New Roman" w:hAnsi="Times New Roman" w:cs="Times New Roman"/>
          <w:sz w:val="24"/>
          <w:szCs w:val="24"/>
        </w:rPr>
        <w:t xml:space="preserve">, as well as other </w:t>
      </w:r>
      <w:r w:rsidR="005E3099" w:rsidRPr="00BC41F0">
        <w:rPr>
          <w:rFonts w:ascii="Times New Roman" w:hAnsi="Times New Roman" w:cs="Times New Roman"/>
          <w:sz w:val="24"/>
          <w:szCs w:val="24"/>
        </w:rPr>
        <w:t xml:space="preserve">trade association </w:t>
      </w:r>
      <w:r w:rsidR="009E076E" w:rsidRPr="00BC41F0">
        <w:rPr>
          <w:rFonts w:ascii="Times New Roman" w:hAnsi="Times New Roman" w:cs="Times New Roman"/>
          <w:sz w:val="24"/>
          <w:szCs w:val="24"/>
        </w:rPr>
        <w:t>memberships</w:t>
      </w:r>
      <w:r w:rsidR="005E3099" w:rsidRPr="00BC41F0">
        <w:rPr>
          <w:rFonts w:ascii="Times New Roman" w:hAnsi="Times New Roman" w:cs="Times New Roman"/>
          <w:sz w:val="24"/>
          <w:szCs w:val="24"/>
        </w:rPr>
        <w:t xml:space="preserve"> </w:t>
      </w:r>
      <w:r w:rsidR="009E076E" w:rsidRPr="00BC41F0">
        <w:rPr>
          <w:rFonts w:ascii="Times New Roman" w:hAnsi="Times New Roman" w:cs="Times New Roman"/>
          <w:sz w:val="24"/>
          <w:szCs w:val="24"/>
        </w:rPr>
        <w:t>like</w:t>
      </w:r>
      <w:r w:rsidR="005E3099" w:rsidRPr="00BC41F0">
        <w:rPr>
          <w:rFonts w:ascii="Times New Roman" w:hAnsi="Times New Roman" w:cs="Times New Roman"/>
          <w:sz w:val="24"/>
          <w:szCs w:val="24"/>
        </w:rPr>
        <w:t xml:space="preserve"> the Chemical </w:t>
      </w:r>
      <w:r w:rsidR="009E076E" w:rsidRPr="00BC41F0">
        <w:rPr>
          <w:rFonts w:ascii="Times New Roman" w:hAnsi="Times New Roman" w:cs="Times New Roman"/>
          <w:sz w:val="24"/>
          <w:szCs w:val="24"/>
        </w:rPr>
        <w:t>U</w:t>
      </w:r>
      <w:r w:rsidR="005E3099" w:rsidRPr="00BC41F0">
        <w:rPr>
          <w:rFonts w:ascii="Times New Roman" w:hAnsi="Times New Roman" w:cs="Times New Roman"/>
          <w:sz w:val="24"/>
          <w:szCs w:val="24"/>
        </w:rPr>
        <w:t>sers Coalition</w:t>
      </w:r>
      <w:r w:rsidR="003B3E7C" w:rsidRPr="00BC41F0">
        <w:rPr>
          <w:rFonts w:ascii="Times New Roman" w:hAnsi="Times New Roman" w:cs="Times New Roman"/>
          <w:sz w:val="24"/>
          <w:szCs w:val="24"/>
        </w:rPr>
        <w:t>, the Internet Security Alliance</w:t>
      </w:r>
      <w:r w:rsidR="00C10685" w:rsidRPr="00BC41F0">
        <w:rPr>
          <w:rFonts w:ascii="Times New Roman" w:hAnsi="Times New Roman" w:cs="Times New Roman"/>
          <w:sz w:val="24"/>
          <w:szCs w:val="24"/>
        </w:rPr>
        <w:t xml:space="preserve"> and Rhode Island </w:t>
      </w:r>
      <w:r w:rsidR="00507273" w:rsidRPr="00BC41F0">
        <w:rPr>
          <w:rFonts w:ascii="Times New Roman" w:hAnsi="Times New Roman" w:cs="Times New Roman"/>
          <w:sz w:val="24"/>
          <w:szCs w:val="24"/>
        </w:rPr>
        <w:t>Manufacturers Association</w:t>
      </w:r>
      <w:r w:rsidR="0072641A" w:rsidRPr="00BC41F0">
        <w:rPr>
          <w:rFonts w:ascii="Times New Roman" w:hAnsi="Times New Roman" w:cs="Times New Roman"/>
          <w:sz w:val="24"/>
          <w:szCs w:val="24"/>
        </w:rPr>
        <w:t>.</w:t>
      </w:r>
      <w:r w:rsidR="004C5E2D">
        <w:rPr>
          <w:rStyle w:val="FootnoteReference"/>
          <w:rFonts w:ascii="Times New Roman" w:hAnsi="Times New Roman"/>
          <w:sz w:val="24"/>
          <w:szCs w:val="24"/>
        </w:rPr>
        <w:footnoteReference w:id="13"/>
      </w:r>
      <w:r w:rsidR="00967360">
        <w:rPr>
          <w:rFonts w:ascii="Times New Roman" w:hAnsi="Times New Roman" w:cs="Times New Roman"/>
          <w:sz w:val="24"/>
          <w:szCs w:val="24"/>
        </w:rPr>
        <w:t xml:space="preserve"> </w:t>
      </w:r>
    </w:p>
    <w:p w14:paraId="416D472E" w14:textId="77777777" w:rsidR="0072641A" w:rsidRPr="00FC512E" w:rsidRDefault="0072641A" w:rsidP="00FB0A76">
      <w:pPr>
        <w:pStyle w:val="ListParagraph"/>
        <w:spacing w:after="0" w:line="240" w:lineRule="auto"/>
        <w:rPr>
          <w:rFonts w:ascii="Times New Roman" w:eastAsia="Times New Roman" w:hAnsi="Times New Roman" w:cs="Times New Roman"/>
          <w:color w:val="000000" w:themeColor="text1"/>
          <w:sz w:val="24"/>
          <w:szCs w:val="24"/>
        </w:rPr>
      </w:pPr>
    </w:p>
    <w:p w14:paraId="4C19E528" w14:textId="77777777" w:rsidR="002F6196" w:rsidRPr="00C50873" w:rsidRDefault="002F6196" w:rsidP="002F6196">
      <w:pPr>
        <w:tabs>
          <w:tab w:val="left" w:pos="720"/>
        </w:tabs>
        <w:spacing w:after="0" w:line="240" w:lineRule="auto"/>
        <w:rPr>
          <w:rFonts w:ascii="Times New Roman" w:eastAsia="Times New Roman" w:hAnsi="Times New Roman" w:cs="Times New Roman"/>
          <w:color w:val="000000" w:themeColor="text1"/>
          <w:sz w:val="24"/>
          <w:szCs w:val="24"/>
        </w:rPr>
      </w:pPr>
      <w:r w:rsidRPr="00C50873">
        <w:rPr>
          <w:rFonts w:ascii="Times New Roman" w:eastAsia="Times New Roman" w:hAnsi="Times New Roman" w:cs="Times New Roman"/>
          <w:b/>
          <w:bCs/>
          <w:color w:val="000000" w:themeColor="text1"/>
          <w:sz w:val="24"/>
          <w:szCs w:val="24"/>
        </w:rPr>
        <w:t>Trade Association Lobbying Misalignments Create Reputational Risk.</w:t>
      </w:r>
    </w:p>
    <w:p w14:paraId="187916A3" w14:textId="14BBB3FC" w:rsidR="002F6196" w:rsidRPr="00C50873" w:rsidRDefault="00C50873" w:rsidP="002F6196">
      <w:pPr>
        <w:pStyle w:val="ListParagraph"/>
        <w:numPr>
          <w:ilvl w:val="0"/>
          <w:numId w:val="11"/>
        </w:numPr>
        <w:tabs>
          <w:tab w:val="left" w:pos="72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RTX</w:t>
      </w:r>
      <w:r w:rsidR="002F6196" w:rsidRPr="00C50873">
        <w:rPr>
          <w:rFonts w:ascii="Times New Roman" w:hAnsi="Times New Roman" w:cs="Times New Roman"/>
          <w:color w:val="000000" w:themeColor="text1"/>
          <w:sz w:val="24"/>
          <w:szCs w:val="24"/>
        </w:rPr>
        <w:t xml:space="preserve">’s trade association memberships and payments used for lobbying pose reputational risks and risks to long-term sustainable growth when the lobbying of its trade associations contradicts </w:t>
      </w:r>
      <w:r>
        <w:rPr>
          <w:rFonts w:ascii="Times New Roman" w:hAnsi="Times New Roman" w:cs="Times New Roman"/>
          <w:color w:val="000000" w:themeColor="text1"/>
          <w:sz w:val="24"/>
          <w:szCs w:val="24"/>
        </w:rPr>
        <w:t>RTX</w:t>
      </w:r>
      <w:r w:rsidR="002F6196" w:rsidRPr="00C50873">
        <w:rPr>
          <w:rFonts w:ascii="Times New Roman" w:hAnsi="Times New Roman" w:cs="Times New Roman"/>
          <w:color w:val="000000" w:themeColor="text1"/>
          <w:sz w:val="24"/>
          <w:szCs w:val="24"/>
        </w:rPr>
        <w:t xml:space="preserve">’s public position, including on climate change and taxes. </w:t>
      </w:r>
      <w:r w:rsidR="002F6196" w:rsidRPr="00C50873">
        <w:rPr>
          <w:rFonts w:ascii="Times New Roman" w:hAnsi="Times New Roman" w:cs="Times New Roman"/>
          <w:sz w:val="24"/>
          <w:szCs w:val="24"/>
        </w:rPr>
        <w:t>For example:</w:t>
      </w:r>
    </w:p>
    <w:p w14:paraId="66C1203E" w14:textId="77777777" w:rsidR="006A48CF" w:rsidRPr="00896D67" w:rsidRDefault="00C50873" w:rsidP="006A48CF">
      <w:pPr>
        <w:pStyle w:val="ListParagraph"/>
        <w:numPr>
          <w:ilvl w:val="1"/>
          <w:numId w:val="12"/>
        </w:numPr>
        <w:spacing w:after="0" w:line="240" w:lineRule="auto"/>
        <w:rPr>
          <w:rFonts w:ascii="Times New Roman" w:hAnsi="Times New Roman" w:cs="Times New Roman"/>
          <w:color w:val="000000" w:themeColor="text1"/>
          <w:sz w:val="24"/>
          <w:szCs w:val="24"/>
          <w:vertAlign w:val="superscript"/>
        </w:rPr>
      </w:pPr>
      <w:r w:rsidRPr="00896D67">
        <w:rPr>
          <w:rFonts w:ascii="Times New Roman" w:hAnsi="Times New Roman" w:cs="Times New Roman"/>
          <w:color w:val="000000" w:themeColor="text1"/>
          <w:sz w:val="24"/>
          <w:szCs w:val="24"/>
        </w:rPr>
        <w:t>RTX</w:t>
      </w:r>
      <w:r w:rsidR="002F6196" w:rsidRPr="00896D67">
        <w:rPr>
          <w:rFonts w:ascii="Times New Roman" w:hAnsi="Times New Roman" w:cs="Times New Roman"/>
          <w:color w:val="000000" w:themeColor="text1"/>
          <w:sz w:val="24"/>
          <w:szCs w:val="24"/>
        </w:rPr>
        <w:t xml:space="preserve"> </w:t>
      </w:r>
      <w:r w:rsidR="006A48CF" w:rsidRPr="00896D67">
        <w:rPr>
          <w:rFonts w:ascii="Times New Roman" w:hAnsi="Times New Roman" w:cs="Times New Roman"/>
          <w:color w:val="000000" w:themeColor="text1"/>
          <w:sz w:val="24"/>
          <w:szCs w:val="24"/>
        </w:rPr>
        <w:t xml:space="preserve">believes in addressing climate change, yet the Business Roundtable </w:t>
      </w:r>
      <w:r w:rsidR="006A48CF" w:rsidRPr="00896D67">
        <w:rPr>
          <w:rFonts w:ascii="Times New Roman" w:hAnsi="Times New Roman" w:cs="Times New Roman"/>
          <w:sz w:val="24"/>
          <w:szCs w:val="24"/>
        </w:rPr>
        <w:t>filed an amicus brief opposing the Securities and Exchange Commission climate risk disclosure rules,</w:t>
      </w:r>
      <w:r w:rsidR="006A48CF" w:rsidRPr="00896D67">
        <w:rPr>
          <w:rStyle w:val="FootnoteReference"/>
          <w:rFonts w:ascii="Times New Roman" w:hAnsi="Times New Roman"/>
          <w:sz w:val="24"/>
          <w:szCs w:val="24"/>
        </w:rPr>
        <w:footnoteReference w:id="14"/>
      </w:r>
      <w:r w:rsidR="006A48CF" w:rsidRPr="00896D67">
        <w:rPr>
          <w:rFonts w:ascii="Times New Roman" w:hAnsi="Times New Roman" w:cs="Times New Roman"/>
          <w:sz w:val="24"/>
          <w:szCs w:val="24"/>
        </w:rPr>
        <w:t xml:space="preserve"> </w:t>
      </w:r>
      <w:r w:rsidR="006A48CF" w:rsidRPr="00896D67">
        <w:rPr>
          <w:rFonts w:ascii="Times New Roman" w:hAnsi="Times New Roman" w:cs="Times New Roman"/>
          <w:color w:val="000000" w:themeColor="text1"/>
          <w:sz w:val="24"/>
          <w:szCs w:val="24"/>
        </w:rPr>
        <w:t>and the Chamber of Commerce reportedly has been a “central actor” in dissuading climate legislation over a two-decade period.</w:t>
      </w:r>
      <w:r w:rsidR="006A48CF" w:rsidRPr="00896D67">
        <w:rPr>
          <w:rStyle w:val="FootnoteReference"/>
          <w:rFonts w:ascii="Times New Roman" w:hAnsi="Times New Roman"/>
          <w:color w:val="000000" w:themeColor="text1"/>
          <w:sz w:val="24"/>
          <w:szCs w:val="24"/>
        </w:rPr>
        <w:footnoteReference w:id="15"/>
      </w:r>
    </w:p>
    <w:p w14:paraId="0058421E" w14:textId="62BAD2D1" w:rsidR="002F6196" w:rsidRPr="00896D67" w:rsidRDefault="002F6196" w:rsidP="002F6196">
      <w:pPr>
        <w:pStyle w:val="ListParagraph"/>
        <w:numPr>
          <w:ilvl w:val="1"/>
          <w:numId w:val="12"/>
        </w:numPr>
        <w:spacing w:after="0" w:line="240" w:lineRule="auto"/>
        <w:rPr>
          <w:rFonts w:ascii="Times New Roman" w:hAnsi="Times New Roman" w:cs="Times New Roman"/>
          <w:color w:val="000000" w:themeColor="text1"/>
          <w:sz w:val="24"/>
          <w:szCs w:val="24"/>
        </w:rPr>
      </w:pPr>
      <w:r w:rsidRPr="00896D67">
        <w:rPr>
          <w:rFonts w:ascii="Times New Roman" w:hAnsi="Times New Roman" w:cs="Times New Roman"/>
          <w:color w:val="000000" w:themeColor="text1"/>
          <w:sz w:val="24"/>
          <w:szCs w:val="24"/>
        </w:rPr>
        <w:t xml:space="preserve">And while </w:t>
      </w:r>
      <w:r w:rsidR="009728AA" w:rsidRPr="00896D67">
        <w:rPr>
          <w:rFonts w:ascii="Times New Roman" w:hAnsi="Times New Roman" w:cs="Times New Roman"/>
          <w:bCs/>
          <w:sz w:val="24"/>
          <w:szCs w:val="24"/>
        </w:rPr>
        <w:t xml:space="preserve">RTX </w:t>
      </w:r>
      <w:r w:rsidR="009728AA" w:rsidRPr="00896D67">
        <w:rPr>
          <w:rFonts w:ascii="Times New Roman" w:hAnsi="Times New Roman" w:cs="Times New Roman"/>
          <w:color w:val="000000"/>
          <w:sz w:val="24"/>
          <w:szCs w:val="24"/>
          <w:shd w:val="clear" w:color="auto" w:fill="FFFFFF"/>
        </w:rPr>
        <w:t xml:space="preserve">has drawn attention for </w:t>
      </w:r>
      <w:r w:rsidR="00897CE1" w:rsidRPr="00896D67">
        <w:rPr>
          <w:rFonts w:ascii="Times New Roman" w:hAnsi="Times New Roman" w:cs="Times New Roman"/>
          <w:color w:val="000000"/>
          <w:sz w:val="24"/>
          <w:szCs w:val="24"/>
          <w:shd w:val="clear" w:color="auto" w:fill="FFFFFF"/>
        </w:rPr>
        <w:t>lobbying for tax breaks</w:t>
      </w:r>
      <w:r w:rsidR="00897CE1" w:rsidRPr="00896D67">
        <w:rPr>
          <w:rStyle w:val="FootnoteReference"/>
          <w:rFonts w:ascii="Times New Roman" w:hAnsi="Times New Roman"/>
          <w:color w:val="000000"/>
          <w:sz w:val="24"/>
          <w:szCs w:val="24"/>
          <w:shd w:val="clear" w:color="auto" w:fill="FFFFFF"/>
        </w:rPr>
        <w:footnoteReference w:id="16"/>
      </w:r>
      <w:r w:rsidR="00897CE1" w:rsidRPr="00896D67">
        <w:rPr>
          <w:rFonts w:ascii="Times New Roman" w:hAnsi="Times New Roman" w:cs="Times New Roman"/>
          <w:color w:val="000000"/>
          <w:sz w:val="24"/>
          <w:szCs w:val="24"/>
          <w:shd w:val="clear" w:color="auto" w:fill="FFFFFF"/>
        </w:rPr>
        <w:t xml:space="preserve"> </w:t>
      </w:r>
      <w:r w:rsidR="0052465C" w:rsidRPr="00896D67">
        <w:rPr>
          <w:rFonts w:ascii="Times New Roman" w:hAnsi="Times New Roman" w:cs="Times New Roman"/>
          <w:color w:val="000000"/>
          <w:sz w:val="24"/>
          <w:szCs w:val="24"/>
          <w:shd w:val="clear" w:color="auto" w:fill="FFFFFF"/>
        </w:rPr>
        <w:t xml:space="preserve">as well as </w:t>
      </w:r>
      <w:r w:rsidR="009728AA" w:rsidRPr="00896D67">
        <w:rPr>
          <w:rFonts w:ascii="Times New Roman" w:hAnsi="Times New Roman" w:cs="Times New Roman"/>
          <w:color w:val="000000"/>
          <w:sz w:val="24"/>
          <w:szCs w:val="24"/>
          <w:shd w:val="clear" w:color="auto" w:fill="FFFFFF"/>
        </w:rPr>
        <w:t>paying lower taxes than most Americans,</w:t>
      </w:r>
      <w:r w:rsidR="009728AA" w:rsidRPr="00896D67">
        <w:rPr>
          <w:rStyle w:val="FootnoteReference"/>
          <w:rFonts w:ascii="Times New Roman" w:hAnsi="Times New Roman"/>
          <w:color w:val="000000"/>
          <w:sz w:val="24"/>
          <w:szCs w:val="24"/>
          <w:shd w:val="clear" w:color="auto" w:fill="FFFFFF"/>
        </w:rPr>
        <w:footnoteReference w:id="17"/>
      </w:r>
      <w:r w:rsidR="009728AA" w:rsidRPr="00896D67">
        <w:rPr>
          <w:rFonts w:ascii="Times New Roman" w:hAnsi="Times New Roman" w:cs="Times New Roman"/>
          <w:color w:val="000000" w:themeColor="text1"/>
          <w:sz w:val="24"/>
          <w:szCs w:val="24"/>
        </w:rPr>
        <w:t xml:space="preserve"> </w:t>
      </w:r>
      <w:r w:rsidR="004D3515" w:rsidRPr="00896D67">
        <w:rPr>
          <w:rFonts w:ascii="Times New Roman" w:hAnsi="Times New Roman" w:cs="Times New Roman"/>
          <w:color w:val="000000" w:themeColor="text1"/>
          <w:sz w:val="24"/>
          <w:szCs w:val="24"/>
        </w:rPr>
        <w:t xml:space="preserve">the </w:t>
      </w:r>
      <w:r w:rsidR="004D3515" w:rsidRPr="00896D67">
        <w:rPr>
          <w:rFonts w:ascii="Times New Roman" w:hAnsi="Times New Roman" w:cs="Times New Roman"/>
          <w:sz w:val="24"/>
          <w:szCs w:val="24"/>
        </w:rPr>
        <w:t xml:space="preserve">National Association of Manufacturers </w:t>
      </w:r>
      <w:r w:rsidR="009728AA" w:rsidRPr="00896D67">
        <w:rPr>
          <w:rFonts w:ascii="Times New Roman" w:hAnsi="Times New Roman" w:cs="Times New Roman"/>
          <w:color w:val="000000" w:themeColor="text1"/>
          <w:sz w:val="24"/>
          <w:szCs w:val="24"/>
        </w:rPr>
        <w:t xml:space="preserve">has attracted attention for </w:t>
      </w:r>
      <w:r w:rsidR="00890371" w:rsidRPr="00896D67">
        <w:rPr>
          <w:rFonts w:ascii="Times New Roman" w:hAnsi="Times New Roman" w:cs="Times New Roman"/>
          <w:color w:val="000000" w:themeColor="text1"/>
          <w:sz w:val="24"/>
          <w:szCs w:val="24"/>
        </w:rPr>
        <w:t>predicting “a million job losses over the next two years without additional tax breaks”</w:t>
      </w:r>
      <w:r w:rsidR="00890371" w:rsidRPr="00896D67">
        <w:rPr>
          <w:rStyle w:val="FootnoteReference"/>
          <w:rFonts w:ascii="Times New Roman" w:hAnsi="Times New Roman"/>
          <w:color w:val="000000" w:themeColor="text1"/>
          <w:sz w:val="24"/>
          <w:szCs w:val="24"/>
        </w:rPr>
        <w:footnoteReference w:id="18"/>
      </w:r>
      <w:r w:rsidR="00F42474" w:rsidRPr="00896D67">
        <w:rPr>
          <w:rFonts w:ascii="Times New Roman" w:hAnsi="Times New Roman" w:cs="Times New Roman"/>
          <w:color w:val="000000" w:themeColor="text1"/>
          <w:sz w:val="24"/>
          <w:szCs w:val="24"/>
        </w:rPr>
        <w:t xml:space="preserve"> as well as </w:t>
      </w:r>
      <w:r w:rsidR="009728AA" w:rsidRPr="00896D67">
        <w:rPr>
          <w:rFonts w:ascii="Times New Roman" w:hAnsi="Times New Roman" w:cs="Times New Roman"/>
          <w:color w:val="000000" w:themeColor="text1"/>
          <w:sz w:val="24"/>
          <w:szCs w:val="24"/>
        </w:rPr>
        <w:t>opposing a new corporate minimum tax</w:t>
      </w:r>
      <w:r w:rsidR="009728AA" w:rsidRPr="00896D67">
        <w:rPr>
          <w:rStyle w:val="FootnoteReference"/>
          <w:rFonts w:ascii="Times New Roman" w:hAnsi="Times New Roman"/>
          <w:color w:val="000000" w:themeColor="text1"/>
          <w:sz w:val="24"/>
          <w:szCs w:val="24"/>
        </w:rPr>
        <w:footnoteReference w:id="19"/>
      </w:r>
      <w:r w:rsidR="009728AA" w:rsidRPr="00896D67">
        <w:rPr>
          <w:rFonts w:ascii="Times New Roman" w:hAnsi="Times New Roman" w:cs="Times New Roman"/>
          <w:color w:val="000000" w:themeColor="text1"/>
          <w:sz w:val="24"/>
          <w:szCs w:val="24"/>
        </w:rPr>
        <w:t xml:space="preserve"> </w:t>
      </w:r>
      <w:r w:rsidR="006668C3" w:rsidRPr="00896D67">
        <w:rPr>
          <w:rFonts w:ascii="Times New Roman" w:hAnsi="Times New Roman" w:cs="Times New Roman"/>
          <w:color w:val="000000" w:themeColor="text1"/>
          <w:sz w:val="24"/>
          <w:szCs w:val="24"/>
        </w:rPr>
        <w:t>and</w:t>
      </w:r>
      <w:r w:rsidRPr="00896D67">
        <w:rPr>
          <w:rFonts w:ascii="Times New Roman" w:hAnsi="Times New Roman" w:cs="Times New Roman"/>
          <w:color w:val="000000" w:themeColor="text1"/>
          <w:sz w:val="24"/>
          <w:szCs w:val="24"/>
        </w:rPr>
        <w:t xml:space="preserve"> the Business Roundtable has</w:t>
      </w:r>
      <w:r w:rsidRPr="00896D67">
        <w:rPr>
          <w:rFonts w:ascii="Times New Roman" w:hAnsi="Times New Roman" w:cs="Times New Roman"/>
          <w:sz w:val="24"/>
          <w:szCs w:val="24"/>
        </w:rPr>
        <w:t xml:space="preserve"> lobbied against a new minimum corporate tax.</w:t>
      </w:r>
      <w:r w:rsidRPr="00896D67">
        <w:rPr>
          <w:rStyle w:val="FootnoteReference"/>
          <w:rFonts w:ascii="Times New Roman" w:hAnsi="Times New Roman"/>
          <w:sz w:val="24"/>
          <w:szCs w:val="24"/>
        </w:rPr>
        <w:footnoteReference w:id="20"/>
      </w:r>
    </w:p>
    <w:p w14:paraId="54ED167F" w14:textId="26C6EC3F" w:rsidR="002F6196" w:rsidRPr="00C50873" w:rsidRDefault="002F6196" w:rsidP="002F6196">
      <w:pPr>
        <w:pStyle w:val="ListParagraph"/>
        <w:numPr>
          <w:ilvl w:val="0"/>
          <w:numId w:val="12"/>
        </w:numPr>
        <w:tabs>
          <w:tab w:val="left" w:pos="720"/>
        </w:tabs>
        <w:spacing w:after="0" w:line="240" w:lineRule="auto"/>
        <w:rPr>
          <w:rFonts w:ascii="Times New Roman" w:hAnsi="Times New Roman" w:cs="Times New Roman"/>
          <w:sz w:val="24"/>
          <w:szCs w:val="24"/>
        </w:rPr>
      </w:pPr>
      <w:r w:rsidRPr="00896D67">
        <w:rPr>
          <w:rFonts w:ascii="Times New Roman" w:hAnsi="Times New Roman" w:cs="Times New Roman"/>
          <w:color w:val="000000" w:themeColor="text1"/>
          <w:sz w:val="24"/>
          <w:szCs w:val="24"/>
        </w:rPr>
        <w:t xml:space="preserve">This track record of </w:t>
      </w:r>
      <w:r w:rsidR="00D14482" w:rsidRPr="00896D67">
        <w:rPr>
          <w:rFonts w:ascii="Times New Roman" w:hAnsi="Times New Roman" w:cs="Times New Roman"/>
          <w:color w:val="000000" w:themeColor="text1"/>
          <w:sz w:val="24"/>
          <w:szCs w:val="24"/>
        </w:rPr>
        <w:t>RTX</w:t>
      </w:r>
      <w:r w:rsidRPr="00896D67">
        <w:rPr>
          <w:rFonts w:ascii="Times New Roman" w:hAnsi="Times New Roman" w:cs="Times New Roman"/>
          <w:color w:val="000000" w:themeColor="text1"/>
          <w:sz w:val="24"/>
          <w:szCs w:val="24"/>
        </w:rPr>
        <w:t xml:space="preserve">’s trade associations acting in contrast to the Company’s stated values and positions heighten its reputational risk. Without more comprehensive disclosure, </w:t>
      </w:r>
      <w:r w:rsidR="00022EC7" w:rsidRPr="00896D67">
        <w:rPr>
          <w:rFonts w:ascii="Times New Roman" w:hAnsi="Times New Roman" w:cs="Times New Roman"/>
          <w:color w:val="000000" w:themeColor="text1"/>
          <w:sz w:val="24"/>
          <w:szCs w:val="24"/>
        </w:rPr>
        <w:t>shareowner</w:t>
      </w:r>
      <w:r w:rsidR="00896D67" w:rsidRPr="00896D67">
        <w:rPr>
          <w:rFonts w:ascii="Times New Roman" w:hAnsi="Times New Roman" w:cs="Times New Roman"/>
          <w:color w:val="000000" w:themeColor="text1"/>
          <w:sz w:val="24"/>
          <w:szCs w:val="24"/>
        </w:rPr>
        <w:t>s</w:t>
      </w:r>
      <w:r w:rsidRPr="00896D67">
        <w:rPr>
          <w:rFonts w:ascii="Times New Roman" w:hAnsi="Times New Roman" w:cs="Times New Roman"/>
          <w:color w:val="000000" w:themeColor="text1"/>
          <w:sz w:val="24"/>
          <w:szCs w:val="24"/>
        </w:rPr>
        <w:t xml:space="preserve"> cannot determine whether </w:t>
      </w:r>
      <w:r w:rsidR="00022EC7" w:rsidRPr="00896D67">
        <w:rPr>
          <w:rFonts w:ascii="Times New Roman" w:hAnsi="Times New Roman" w:cs="Times New Roman"/>
          <w:color w:val="000000" w:themeColor="text1"/>
          <w:sz w:val="24"/>
          <w:szCs w:val="24"/>
        </w:rPr>
        <w:t>RTX</w:t>
      </w:r>
      <w:r w:rsidRPr="00896D67">
        <w:rPr>
          <w:rFonts w:ascii="Times New Roman" w:hAnsi="Times New Roman" w:cs="Times New Roman"/>
          <w:color w:val="000000" w:themeColor="text1"/>
          <w:sz w:val="24"/>
          <w:szCs w:val="24"/>
        </w:rPr>
        <w:t xml:space="preserve"> is effectively able to prevent Company funds from being used for lobbying efforts contrary to the Company's</w:t>
      </w:r>
      <w:r w:rsidRPr="00C50873">
        <w:rPr>
          <w:rFonts w:ascii="Times New Roman" w:hAnsi="Times New Roman" w:cs="Times New Roman"/>
          <w:color w:val="000000" w:themeColor="text1"/>
          <w:sz w:val="24"/>
          <w:szCs w:val="24"/>
        </w:rPr>
        <w:t xml:space="preserve"> and </w:t>
      </w:r>
      <w:r w:rsidR="00022EC7">
        <w:rPr>
          <w:rFonts w:ascii="Times New Roman" w:hAnsi="Times New Roman" w:cs="Times New Roman"/>
          <w:color w:val="000000" w:themeColor="text1"/>
          <w:sz w:val="24"/>
          <w:szCs w:val="24"/>
        </w:rPr>
        <w:t>shareowner</w:t>
      </w:r>
      <w:r w:rsidRPr="00C50873">
        <w:rPr>
          <w:rFonts w:ascii="Times New Roman" w:hAnsi="Times New Roman" w:cs="Times New Roman"/>
          <w:color w:val="000000" w:themeColor="text1"/>
          <w:sz w:val="24"/>
          <w:szCs w:val="24"/>
        </w:rPr>
        <w:t>’</w:t>
      </w:r>
      <w:r w:rsidR="00896D67">
        <w:rPr>
          <w:rFonts w:ascii="Times New Roman" w:hAnsi="Times New Roman" w:cs="Times New Roman"/>
          <w:color w:val="000000" w:themeColor="text1"/>
          <w:sz w:val="24"/>
          <w:szCs w:val="24"/>
        </w:rPr>
        <w:t>s</w:t>
      </w:r>
      <w:r w:rsidRPr="00C50873">
        <w:rPr>
          <w:rFonts w:ascii="Times New Roman" w:hAnsi="Times New Roman" w:cs="Times New Roman"/>
          <w:color w:val="000000" w:themeColor="text1"/>
          <w:sz w:val="24"/>
          <w:szCs w:val="24"/>
        </w:rPr>
        <w:t xml:space="preserve"> objectives and long-term interests.  </w:t>
      </w:r>
    </w:p>
    <w:p w14:paraId="29DC90ED" w14:textId="77777777" w:rsidR="00C50873" w:rsidRDefault="00C50873" w:rsidP="00941154">
      <w:pPr>
        <w:spacing w:after="0" w:line="240" w:lineRule="auto"/>
        <w:rPr>
          <w:rFonts w:ascii="Times New Roman" w:eastAsia="Times New Roman" w:hAnsi="Times New Roman" w:cs="Times New Roman"/>
          <w:b/>
          <w:bCs/>
          <w:color w:val="000000" w:themeColor="text1"/>
          <w:sz w:val="24"/>
          <w:szCs w:val="24"/>
        </w:rPr>
      </w:pPr>
    </w:p>
    <w:p w14:paraId="1535FE01" w14:textId="3142894D" w:rsidR="004F369B" w:rsidRDefault="005C2439" w:rsidP="0094115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RTX Disclosure Leaves out </w:t>
      </w:r>
      <w:r w:rsidR="004F369B" w:rsidRPr="6231E2A2">
        <w:rPr>
          <w:rFonts w:ascii="Times New Roman" w:eastAsia="Times New Roman" w:hAnsi="Times New Roman" w:cs="Times New Roman"/>
          <w:b/>
          <w:bCs/>
          <w:color w:val="000000" w:themeColor="text1"/>
          <w:sz w:val="24"/>
          <w:szCs w:val="24"/>
        </w:rPr>
        <w:t xml:space="preserve">Social Welfare </w:t>
      </w:r>
      <w:r w:rsidR="004F369B">
        <w:rPr>
          <w:rFonts w:ascii="Times New Roman" w:eastAsia="Times New Roman" w:hAnsi="Times New Roman" w:cs="Times New Roman"/>
          <w:b/>
          <w:bCs/>
          <w:color w:val="000000" w:themeColor="text1"/>
          <w:sz w:val="24"/>
          <w:szCs w:val="24"/>
        </w:rPr>
        <w:t>Groups</w:t>
      </w:r>
      <w:r>
        <w:rPr>
          <w:rFonts w:ascii="Times New Roman" w:eastAsia="Times New Roman" w:hAnsi="Times New Roman" w:cs="Times New Roman"/>
          <w:b/>
          <w:bCs/>
          <w:color w:val="000000" w:themeColor="text1"/>
          <w:sz w:val="24"/>
          <w:szCs w:val="24"/>
        </w:rPr>
        <w:t>,</w:t>
      </w:r>
      <w:r w:rsidR="004F369B">
        <w:rPr>
          <w:rFonts w:ascii="Times New Roman" w:eastAsia="Times New Roman" w:hAnsi="Times New Roman" w:cs="Times New Roman"/>
          <w:b/>
          <w:bCs/>
          <w:color w:val="000000" w:themeColor="text1"/>
          <w:sz w:val="24"/>
          <w:szCs w:val="24"/>
        </w:rPr>
        <w:t xml:space="preserve"> “Perfect Entit</w:t>
      </w:r>
      <w:r w:rsidR="00B4249E">
        <w:rPr>
          <w:rFonts w:ascii="Times New Roman" w:eastAsia="Times New Roman" w:hAnsi="Times New Roman" w:cs="Times New Roman"/>
          <w:b/>
          <w:bCs/>
          <w:color w:val="000000" w:themeColor="text1"/>
          <w:sz w:val="24"/>
          <w:szCs w:val="24"/>
        </w:rPr>
        <w:t>ies</w:t>
      </w:r>
      <w:r w:rsidR="004F369B">
        <w:rPr>
          <w:rFonts w:ascii="Times New Roman" w:eastAsia="Times New Roman" w:hAnsi="Times New Roman" w:cs="Times New Roman"/>
          <w:b/>
          <w:bCs/>
          <w:color w:val="000000" w:themeColor="text1"/>
          <w:sz w:val="24"/>
          <w:szCs w:val="24"/>
        </w:rPr>
        <w:t xml:space="preserve"> to Receive a Bribe” </w:t>
      </w:r>
    </w:p>
    <w:p w14:paraId="76A98D8C" w14:textId="3AA14D9F" w:rsidR="00DB6117" w:rsidRPr="006C7A99" w:rsidRDefault="00B228D6" w:rsidP="001F5F7A">
      <w:pPr>
        <w:pStyle w:val="ListParagraph"/>
        <w:numPr>
          <w:ilvl w:val="0"/>
          <w:numId w:val="13"/>
        </w:numPr>
        <w:spacing w:after="0" w:line="240" w:lineRule="auto"/>
        <w:rPr>
          <w:rFonts w:ascii="Times New Roman" w:hAnsi="Times New Roman" w:cs="Times New Roman"/>
          <w:color w:val="000000" w:themeColor="text1"/>
          <w:sz w:val="24"/>
          <w:szCs w:val="24"/>
        </w:rPr>
      </w:pPr>
      <w:r w:rsidRPr="006C7A99">
        <w:rPr>
          <w:rFonts w:ascii="Times New Roman" w:eastAsia="Times New Roman" w:hAnsi="Times New Roman" w:cs="Times New Roman"/>
          <w:color w:val="000000" w:themeColor="text1"/>
          <w:sz w:val="24"/>
          <w:szCs w:val="24"/>
        </w:rPr>
        <w:t>RTX</w:t>
      </w:r>
      <w:r w:rsidR="004F369B" w:rsidRPr="006C7A99">
        <w:rPr>
          <w:rFonts w:ascii="Times New Roman" w:eastAsia="Times New Roman" w:hAnsi="Times New Roman" w:cs="Times New Roman"/>
          <w:color w:val="000000" w:themeColor="text1"/>
          <w:sz w:val="24"/>
          <w:szCs w:val="24"/>
        </w:rPr>
        <w:t xml:space="preserve">’s disclosure </w:t>
      </w:r>
      <w:r w:rsidR="0098304F" w:rsidRPr="006C7A99">
        <w:rPr>
          <w:rFonts w:ascii="Times New Roman" w:hAnsi="Times New Roman" w:cs="Times New Roman"/>
          <w:color w:val="000000" w:themeColor="text1"/>
          <w:sz w:val="24"/>
          <w:szCs w:val="24"/>
        </w:rPr>
        <w:t>leaves out SWGs (501(c)(4) organizations), including its membership in the Alliance for Competitive Taxation (ACT),</w:t>
      </w:r>
      <w:r w:rsidR="00E55266" w:rsidRPr="006C7A99">
        <w:rPr>
          <w:rFonts w:ascii="Times New Roman" w:hAnsi="Times New Roman" w:cs="Times New Roman"/>
          <w:color w:val="000000" w:themeColor="text1"/>
          <w:sz w:val="24"/>
          <w:szCs w:val="24"/>
        </w:rPr>
        <w:t xml:space="preserve"> Public Affairs Council</w:t>
      </w:r>
      <w:r w:rsidR="0098304F" w:rsidRPr="006C7A99">
        <w:rPr>
          <w:rFonts w:ascii="Times New Roman" w:hAnsi="Times New Roman" w:cs="Times New Roman"/>
          <w:color w:val="000000" w:themeColor="text1"/>
          <w:sz w:val="24"/>
          <w:szCs w:val="24"/>
        </w:rPr>
        <w:t xml:space="preserve"> </w:t>
      </w:r>
      <w:r w:rsidR="00E55266" w:rsidRPr="006C7A99">
        <w:rPr>
          <w:rFonts w:ascii="Times New Roman" w:hAnsi="Times New Roman" w:cs="Times New Roman"/>
          <w:color w:val="000000" w:themeColor="text1"/>
          <w:sz w:val="24"/>
          <w:szCs w:val="24"/>
        </w:rPr>
        <w:t xml:space="preserve">and </w:t>
      </w:r>
      <w:r w:rsidR="00893EB9" w:rsidRPr="006C7A99">
        <w:rPr>
          <w:rFonts w:ascii="Times New Roman" w:hAnsi="Times New Roman" w:cs="Times New Roman"/>
          <w:sz w:val="24"/>
          <w:szCs w:val="24"/>
        </w:rPr>
        <w:t>US Global Leadership Coalition</w:t>
      </w:r>
      <w:r w:rsidR="00893EB9" w:rsidRPr="006C7A99">
        <w:rPr>
          <w:rFonts w:ascii="Times New Roman" w:hAnsi="Times New Roman" w:cs="Times New Roman"/>
          <w:color w:val="000000" w:themeColor="text1"/>
          <w:sz w:val="24"/>
          <w:szCs w:val="24"/>
        </w:rPr>
        <w:t>, all</w:t>
      </w:r>
      <w:r w:rsidR="0098304F" w:rsidRPr="006C7A99">
        <w:rPr>
          <w:rFonts w:ascii="Times New Roman" w:hAnsi="Times New Roman" w:cs="Times New Roman"/>
          <w:color w:val="000000" w:themeColor="text1"/>
          <w:sz w:val="24"/>
          <w:szCs w:val="24"/>
        </w:rPr>
        <w:t xml:space="preserve"> social welfare group</w:t>
      </w:r>
      <w:r w:rsidR="00893EB9" w:rsidRPr="006C7A99">
        <w:rPr>
          <w:rFonts w:ascii="Times New Roman" w:hAnsi="Times New Roman" w:cs="Times New Roman"/>
          <w:color w:val="000000" w:themeColor="text1"/>
          <w:sz w:val="24"/>
          <w:szCs w:val="24"/>
        </w:rPr>
        <w:t>s</w:t>
      </w:r>
      <w:r w:rsidR="0098304F" w:rsidRPr="006C7A99">
        <w:rPr>
          <w:rFonts w:ascii="Times New Roman" w:hAnsi="Times New Roman" w:cs="Times New Roman"/>
          <w:color w:val="000000" w:themeColor="text1"/>
          <w:sz w:val="24"/>
          <w:szCs w:val="24"/>
        </w:rPr>
        <w:t>.</w:t>
      </w:r>
      <w:r w:rsidR="007768F4">
        <w:rPr>
          <w:rStyle w:val="FootnoteReference"/>
          <w:rFonts w:ascii="Times New Roman" w:hAnsi="Times New Roman"/>
          <w:color w:val="000000" w:themeColor="text1"/>
          <w:sz w:val="24"/>
          <w:szCs w:val="24"/>
        </w:rPr>
        <w:footnoteReference w:id="21"/>
      </w:r>
      <w:r w:rsidR="0098304F" w:rsidRPr="006C7A99">
        <w:rPr>
          <w:rFonts w:ascii="Times New Roman" w:hAnsi="Times New Roman" w:cs="Times New Roman"/>
          <w:color w:val="000000" w:themeColor="text1"/>
          <w:sz w:val="24"/>
          <w:szCs w:val="24"/>
        </w:rPr>
        <w:t xml:space="preserve"> ACT lobbies, for example spending $1.7 million on federal lobbying in 2013</w:t>
      </w:r>
      <w:r w:rsidR="00C419EF" w:rsidRPr="006C7A99">
        <w:rPr>
          <w:rFonts w:ascii="Times New Roman" w:hAnsi="Times New Roman" w:cs="Times New Roman"/>
          <w:color w:val="000000" w:themeColor="text1"/>
          <w:sz w:val="24"/>
          <w:szCs w:val="24"/>
        </w:rPr>
        <w:t>,</w:t>
      </w:r>
      <w:r w:rsidR="0098304F" w:rsidRPr="006C7A99">
        <w:rPr>
          <w:rStyle w:val="FootnoteReference"/>
          <w:rFonts w:ascii="Times New Roman" w:hAnsi="Times New Roman"/>
          <w:color w:val="000000" w:themeColor="text1"/>
          <w:sz w:val="24"/>
          <w:szCs w:val="24"/>
        </w:rPr>
        <w:footnoteReference w:id="22"/>
      </w:r>
      <w:r w:rsidR="00C419EF" w:rsidRPr="006C7A99">
        <w:rPr>
          <w:rFonts w:ascii="Times New Roman" w:hAnsi="Times New Roman" w:cs="Times New Roman"/>
          <w:color w:val="000000" w:themeColor="text1"/>
          <w:sz w:val="24"/>
          <w:szCs w:val="24"/>
        </w:rPr>
        <w:t xml:space="preserve"> as does the </w:t>
      </w:r>
      <w:r w:rsidR="00C419EF" w:rsidRPr="006C7A99">
        <w:rPr>
          <w:rFonts w:ascii="Times New Roman" w:hAnsi="Times New Roman" w:cs="Times New Roman"/>
          <w:sz w:val="24"/>
          <w:szCs w:val="24"/>
        </w:rPr>
        <w:t>US Global Leadership Coalition</w:t>
      </w:r>
      <w:r w:rsidR="00C419EF" w:rsidRPr="006C7A99">
        <w:rPr>
          <w:rFonts w:ascii="Times New Roman" w:hAnsi="Times New Roman" w:cs="Times New Roman"/>
          <w:sz w:val="24"/>
          <w:szCs w:val="24"/>
        </w:rPr>
        <w:t>, which spent $725,000 on 2023 federal lobbying.</w:t>
      </w:r>
      <w:r w:rsidR="00023E15">
        <w:rPr>
          <w:rStyle w:val="FootnoteReference"/>
          <w:rFonts w:ascii="Times New Roman" w:hAnsi="Times New Roman"/>
          <w:sz w:val="24"/>
          <w:szCs w:val="24"/>
        </w:rPr>
        <w:footnoteReference w:id="23"/>
      </w:r>
    </w:p>
    <w:p w14:paraId="45A954F2" w14:textId="77777777" w:rsidR="007A4424" w:rsidRDefault="007A4424" w:rsidP="007A4424">
      <w:pPr>
        <w:pStyle w:val="ListParagraph"/>
        <w:numPr>
          <w:ilvl w:val="0"/>
          <w:numId w:val="13"/>
        </w:numPr>
        <w:spacing w:after="0" w:line="240" w:lineRule="auto"/>
        <w:rPr>
          <w:rFonts w:ascii="Times New Roman" w:hAnsi="Times New Roman" w:cs="Times New Roman"/>
          <w:color w:val="000000" w:themeColor="text1"/>
          <w:sz w:val="24"/>
          <w:szCs w:val="24"/>
        </w:rPr>
      </w:pPr>
      <w:r w:rsidRPr="001C72A4">
        <w:rPr>
          <w:rFonts w:ascii="Times New Roman" w:hAnsi="Times New Roman" w:cs="Times New Roman"/>
          <w:color w:val="000000" w:themeColor="text1"/>
          <w:sz w:val="24"/>
          <w:szCs w:val="24"/>
        </w:rPr>
        <w:lastRenderedPageBreak/>
        <w:t>The dark money scandal at FirstEnergy illustrates why investors need disclosure of SWG spending to prevent reputational, regulatory and financial damage. FirstEnergy agreed to pay $230 million for funneling $60 million through a dark money SWG group called Generation Now that was used for bribery in Ohio.</w:t>
      </w:r>
      <w:r w:rsidRPr="001C72A4">
        <w:rPr>
          <w:rStyle w:val="FootnoteReference"/>
          <w:rFonts w:ascii="Times New Roman" w:hAnsi="Times New Roman"/>
          <w:color w:val="000000" w:themeColor="text1"/>
          <w:sz w:val="24"/>
          <w:szCs w:val="24"/>
        </w:rPr>
        <w:footnoteReference w:id="24"/>
      </w:r>
      <w:r w:rsidRPr="001C72A4">
        <w:rPr>
          <w:rFonts w:ascii="Times New Roman" w:hAnsi="Times New Roman" w:cs="Times New Roman"/>
          <w:color w:val="000000" w:themeColor="text1"/>
          <w:sz w:val="24"/>
          <w:szCs w:val="24"/>
        </w:rPr>
        <w:t xml:space="preserve"> FirstEnergy’s trial over $60 million of dark-money payments led a prosecutor to note that a social welfare group is “a perfect entity to receive a secret bribe.”</w:t>
      </w:r>
      <w:r w:rsidRPr="001C72A4">
        <w:rPr>
          <w:rStyle w:val="FootnoteReference"/>
          <w:rFonts w:ascii="Times New Roman" w:hAnsi="Times New Roman"/>
          <w:color w:val="000000" w:themeColor="text1"/>
          <w:sz w:val="24"/>
          <w:szCs w:val="24"/>
        </w:rPr>
        <w:footnoteReference w:id="25"/>
      </w:r>
    </w:p>
    <w:p w14:paraId="001D1441" w14:textId="504283C5" w:rsidR="00037A08" w:rsidRPr="001C72A4" w:rsidRDefault="00037A08" w:rsidP="007A4424">
      <w:pPr>
        <w:pStyle w:val="ListParagraph"/>
        <w:numPr>
          <w:ilvl w:val="0"/>
          <w:numId w:val="13"/>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C50873">
        <w:rPr>
          <w:rFonts w:ascii="Times New Roman" w:hAnsi="Times New Roman" w:cs="Times New Roman"/>
          <w:color w:val="000000" w:themeColor="text1"/>
          <w:sz w:val="24"/>
          <w:szCs w:val="24"/>
        </w:rPr>
        <w:t xml:space="preserve">he lobbying of its </w:t>
      </w:r>
      <w:r w:rsidRPr="006C7A99">
        <w:rPr>
          <w:rFonts w:ascii="Times New Roman" w:hAnsi="Times New Roman" w:cs="Times New Roman"/>
          <w:color w:val="000000" w:themeColor="text1"/>
          <w:sz w:val="24"/>
          <w:szCs w:val="24"/>
        </w:rPr>
        <w:t>social welfare groups</w:t>
      </w:r>
      <w:r w:rsidRPr="00C508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can also </w:t>
      </w:r>
      <w:r w:rsidRPr="00C50873">
        <w:rPr>
          <w:rFonts w:ascii="Times New Roman" w:hAnsi="Times New Roman" w:cs="Times New Roman"/>
          <w:color w:val="000000" w:themeColor="text1"/>
          <w:sz w:val="24"/>
          <w:szCs w:val="24"/>
        </w:rPr>
        <w:t xml:space="preserve">contradict </w:t>
      </w:r>
      <w:r>
        <w:rPr>
          <w:rFonts w:ascii="Times New Roman" w:hAnsi="Times New Roman" w:cs="Times New Roman"/>
          <w:color w:val="000000" w:themeColor="text1"/>
          <w:sz w:val="24"/>
          <w:szCs w:val="24"/>
        </w:rPr>
        <w:t>RTX</w:t>
      </w:r>
      <w:r w:rsidRPr="00C50873">
        <w:rPr>
          <w:rFonts w:ascii="Times New Roman" w:hAnsi="Times New Roman" w:cs="Times New Roman"/>
          <w:color w:val="000000" w:themeColor="text1"/>
          <w:sz w:val="24"/>
          <w:szCs w:val="24"/>
        </w:rPr>
        <w:t>’s public position</w:t>
      </w:r>
      <w:r>
        <w:rPr>
          <w:rFonts w:ascii="Times New Roman" w:hAnsi="Times New Roman" w:cs="Times New Roman"/>
          <w:color w:val="000000" w:themeColor="text1"/>
          <w:sz w:val="24"/>
          <w:szCs w:val="24"/>
        </w:rPr>
        <w:t>s</w:t>
      </w:r>
      <w:r w:rsidR="00E61DD8">
        <w:rPr>
          <w:rFonts w:ascii="Times New Roman" w:hAnsi="Times New Roman" w:cs="Times New Roman"/>
          <w:color w:val="000000" w:themeColor="text1"/>
          <w:sz w:val="24"/>
          <w:szCs w:val="24"/>
        </w:rPr>
        <w:t xml:space="preserve">. </w:t>
      </w:r>
      <w:r w:rsidR="00AB0881">
        <w:rPr>
          <w:rFonts w:ascii="Times New Roman" w:hAnsi="Times New Roman" w:cs="Times New Roman"/>
          <w:color w:val="000000" w:themeColor="text1"/>
          <w:sz w:val="24"/>
          <w:szCs w:val="24"/>
        </w:rPr>
        <w:t>For example, w</w:t>
      </w:r>
      <w:r w:rsidR="00192002">
        <w:rPr>
          <w:rFonts w:ascii="Times New Roman" w:hAnsi="Times New Roman" w:cs="Times New Roman"/>
          <w:color w:val="000000" w:themeColor="text1"/>
          <w:sz w:val="24"/>
          <w:szCs w:val="24"/>
        </w:rPr>
        <w:t xml:space="preserve">hile </w:t>
      </w:r>
      <w:r w:rsidR="00E61DD8">
        <w:rPr>
          <w:rFonts w:ascii="Times New Roman" w:hAnsi="Times New Roman" w:cs="Times New Roman"/>
          <w:color w:val="000000" w:themeColor="text1"/>
          <w:sz w:val="24"/>
          <w:szCs w:val="24"/>
        </w:rPr>
        <w:t xml:space="preserve">RTX has drawn </w:t>
      </w:r>
      <w:r w:rsidR="00153A50">
        <w:rPr>
          <w:rFonts w:ascii="Times New Roman" w:hAnsi="Times New Roman" w:cs="Times New Roman"/>
          <w:color w:val="000000" w:themeColor="text1"/>
          <w:sz w:val="24"/>
          <w:szCs w:val="24"/>
        </w:rPr>
        <w:t>attention</w:t>
      </w:r>
      <w:r w:rsidR="00E61DD8">
        <w:rPr>
          <w:rFonts w:ascii="Times New Roman" w:hAnsi="Times New Roman" w:cs="Times New Roman"/>
          <w:color w:val="000000" w:themeColor="text1"/>
          <w:sz w:val="24"/>
          <w:szCs w:val="24"/>
        </w:rPr>
        <w:t xml:space="preserve"> for </w:t>
      </w:r>
      <w:r w:rsidR="00153A50">
        <w:rPr>
          <w:rFonts w:ascii="Times New Roman" w:hAnsi="Times New Roman" w:cs="Times New Roman"/>
          <w:color w:val="000000" w:themeColor="text1"/>
          <w:sz w:val="24"/>
          <w:szCs w:val="24"/>
        </w:rPr>
        <w:t>lobbying</w:t>
      </w:r>
      <w:r w:rsidR="00E61DD8">
        <w:rPr>
          <w:rFonts w:ascii="Times New Roman" w:hAnsi="Times New Roman" w:cs="Times New Roman"/>
          <w:color w:val="000000" w:themeColor="text1"/>
          <w:sz w:val="24"/>
          <w:szCs w:val="24"/>
        </w:rPr>
        <w:t xml:space="preserve"> for tax credits</w:t>
      </w:r>
      <w:r w:rsidR="00153A50">
        <w:rPr>
          <w:rFonts w:ascii="Times New Roman" w:hAnsi="Times New Roman" w:cs="Times New Roman"/>
          <w:color w:val="000000" w:themeColor="text1"/>
          <w:sz w:val="24"/>
          <w:szCs w:val="24"/>
        </w:rPr>
        <w:t>,</w:t>
      </w:r>
      <w:r w:rsidR="00263886">
        <w:rPr>
          <w:rStyle w:val="FootnoteReference"/>
          <w:rFonts w:ascii="Times New Roman" w:hAnsi="Times New Roman"/>
          <w:color w:val="000000" w:themeColor="text1"/>
          <w:sz w:val="24"/>
          <w:szCs w:val="24"/>
        </w:rPr>
        <w:footnoteReference w:id="26"/>
      </w:r>
      <w:r w:rsidR="00153A50">
        <w:rPr>
          <w:rFonts w:ascii="Times New Roman" w:hAnsi="Times New Roman" w:cs="Times New Roman"/>
          <w:color w:val="000000" w:themeColor="text1"/>
          <w:sz w:val="24"/>
          <w:szCs w:val="24"/>
        </w:rPr>
        <w:t xml:space="preserve"> </w:t>
      </w:r>
      <w:r w:rsidR="00192002" w:rsidRPr="00643029">
        <w:rPr>
          <w:rFonts w:ascii="Times New Roman" w:hAnsi="Times New Roman" w:cs="Times New Roman"/>
          <w:sz w:val="24"/>
          <w:szCs w:val="24"/>
        </w:rPr>
        <w:t>ACT has put out a study claiming higher corporate taxes would harm workers in every state.</w:t>
      </w:r>
      <w:r w:rsidR="00192002" w:rsidRPr="00037761">
        <w:rPr>
          <w:rStyle w:val="FootnoteReference"/>
          <w:rFonts w:ascii="Times New Roman" w:hAnsi="Times New Roman"/>
          <w:sz w:val="24"/>
          <w:szCs w:val="24"/>
        </w:rPr>
        <w:footnoteReference w:id="27"/>
      </w:r>
      <w:r w:rsidR="00192002" w:rsidRPr="00643029">
        <w:rPr>
          <w:rFonts w:ascii="Times New Roman" w:hAnsi="Times New Roman" w:cs="Times New Roman"/>
          <w:sz w:val="24"/>
          <w:szCs w:val="24"/>
        </w:rPr>
        <w:t xml:space="preserve"> </w:t>
      </w:r>
      <w:r w:rsidR="00192002" w:rsidRPr="00643029">
        <w:rPr>
          <w:rFonts w:ascii="Times New Roman" w:hAnsi="Times New Roman" w:cs="Times New Roman"/>
          <w:color w:val="000000" w:themeColor="text1"/>
          <w:sz w:val="24"/>
          <w:szCs w:val="24"/>
        </w:rPr>
        <w:t>A</w:t>
      </w:r>
      <w:r w:rsidR="00192002">
        <w:rPr>
          <w:rFonts w:ascii="Times New Roman" w:hAnsi="Times New Roman" w:cs="Times New Roman"/>
          <w:color w:val="000000" w:themeColor="text1"/>
          <w:sz w:val="24"/>
          <w:szCs w:val="24"/>
        </w:rPr>
        <w:t>nd A</w:t>
      </w:r>
      <w:r w:rsidR="00192002" w:rsidRPr="00643029">
        <w:rPr>
          <w:rFonts w:ascii="Times New Roman" w:hAnsi="Times New Roman" w:cs="Times New Roman"/>
          <w:color w:val="000000" w:themeColor="text1"/>
          <w:sz w:val="24"/>
          <w:szCs w:val="24"/>
        </w:rPr>
        <w:t>CT has also drawn scrutiny for lobbying to lower taxes on foreign profits</w:t>
      </w:r>
      <w:r w:rsidR="00192002" w:rsidRPr="00643029">
        <w:rPr>
          <w:rFonts w:ascii="Times New Roman" w:hAnsi="Times New Roman" w:cs="Times New Roman"/>
          <w:sz w:val="24"/>
          <w:szCs w:val="24"/>
        </w:rPr>
        <w:t>.</w:t>
      </w:r>
      <w:r w:rsidR="00192002" w:rsidRPr="003C1663">
        <w:rPr>
          <w:rStyle w:val="FootnoteReference"/>
          <w:rFonts w:ascii="Times New Roman" w:hAnsi="Times New Roman"/>
          <w:sz w:val="24"/>
          <w:szCs w:val="24"/>
        </w:rPr>
        <w:footnoteReference w:id="28"/>
      </w:r>
    </w:p>
    <w:p w14:paraId="0C2CA68D" w14:textId="1E991D87" w:rsidR="007A4424" w:rsidRDefault="007A4424" w:rsidP="007A4424">
      <w:pPr>
        <w:pStyle w:val="ListParagraph"/>
        <w:numPr>
          <w:ilvl w:val="0"/>
          <w:numId w:val="13"/>
        </w:numPr>
        <w:spacing w:after="0" w:line="240" w:lineRule="auto"/>
        <w:rPr>
          <w:rFonts w:ascii="Times New Roman" w:hAnsi="Times New Roman" w:cs="Times New Roman"/>
          <w:sz w:val="24"/>
          <w:szCs w:val="24"/>
        </w:rPr>
      </w:pPr>
      <w:r w:rsidRPr="001C72A4">
        <w:rPr>
          <w:rFonts w:ascii="Times New Roman" w:hAnsi="Times New Roman" w:cs="Times New Roman"/>
          <w:sz w:val="24"/>
          <w:szCs w:val="24"/>
        </w:rPr>
        <w:t xml:space="preserve">Shareowners have no way to know </w:t>
      </w:r>
      <w:r>
        <w:rPr>
          <w:rFonts w:ascii="Times New Roman" w:hAnsi="Times New Roman" w:cs="Times New Roman"/>
          <w:sz w:val="24"/>
          <w:szCs w:val="24"/>
        </w:rPr>
        <w:t xml:space="preserve">the size of </w:t>
      </w:r>
      <w:r w:rsidR="006C7A99">
        <w:rPr>
          <w:rFonts w:ascii="Times New Roman" w:hAnsi="Times New Roman" w:cs="Times New Roman"/>
          <w:sz w:val="24"/>
          <w:szCs w:val="24"/>
        </w:rPr>
        <w:t>RTX</w:t>
      </w:r>
      <w:r>
        <w:rPr>
          <w:rFonts w:ascii="Times New Roman" w:hAnsi="Times New Roman" w:cs="Times New Roman"/>
          <w:sz w:val="24"/>
          <w:szCs w:val="24"/>
        </w:rPr>
        <w:t>’s payments to ACT</w:t>
      </w:r>
      <w:r w:rsidR="006C7A99">
        <w:rPr>
          <w:rFonts w:ascii="Times New Roman" w:hAnsi="Times New Roman" w:cs="Times New Roman"/>
          <w:sz w:val="24"/>
          <w:szCs w:val="24"/>
        </w:rPr>
        <w:t xml:space="preserve"> or </w:t>
      </w:r>
      <w:r w:rsidR="006C7A99" w:rsidRPr="006C7A99">
        <w:rPr>
          <w:rFonts w:ascii="Times New Roman" w:hAnsi="Times New Roman" w:cs="Times New Roman"/>
          <w:color w:val="000000" w:themeColor="text1"/>
          <w:sz w:val="24"/>
          <w:szCs w:val="24"/>
        </w:rPr>
        <w:t xml:space="preserve">the </w:t>
      </w:r>
      <w:r w:rsidR="006C7A99" w:rsidRPr="006C7A99">
        <w:rPr>
          <w:rFonts w:ascii="Times New Roman" w:hAnsi="Times New Roman" w:cs="Times New Roman"/>
          <w:sz w:val="24"/>
          <w:szCs w:val="24"/>
        </w:rPr>
        <w:t>US Global Leadership Coalition,</w:t>
      </w:r>
      <w:r>
        <w:rPr>
          <w:rFonts w:ascii="Times New Roman" w:hAnsi="Times New Roman" w:cs="Times New Roman"/>
          <w:sz w:val="24"/>
          <w:szCs w:val="24"/>
        </w:rPr>
        <w:t xml:space="preserve"> or </w:t>
      </w:r>
      <w:r w:rsidRPr="001C72A4">
        <w:rPr>
          <w:rFonts w:ascii="Times New Roman" w:hAnsi="Times New Roman" w:cs="Times New Roman"/>
          <w:sz w:val="24"/>
          <w:szCs w:val="24"/>
        </w:rPr>
        <w:t xml:space="preserve">if </w:t>
      </w:r>
      <w:r w:rsidR="006C7A99">
        <w:rPr>
          <w:rFonts w:ascii="Times New Roman" w:hAnsi="Times New Roman" w:cs="Times New Roman"/>
          <w:sz w:val="24"/>
          <w:szCs w:val="24"/>
        </w:rPr>
        <w:t>RTX</w:t>
      </w:r>
      <w:r>
        <w:rPr>
          <w:rFonts w:ascii="Times New Roman" w:hAnsi="Times New Roman" w:cs="Times New Roman"/>
          <w:sz w:val="24"/>
          <w:szCs w:val="24"/>
        </w:rPr>
        <w:t xml:space="preserve"> is making</w:t>
      </w:r>
      <w:r w:rsidRPr="001C72A4">
        <w:rPr>
          <w:rFonts w:ascii="Times New Roman" w:hAnsi="Times New Roman" w:cs="Times New Roman"/>
          <w:sz w:val="24"/>
          <w:szCs w:val="24"/>
        </w:rPr>
        <w:t xml:space="preserve"> donat</w:t>
      </w:r>
      <w:r>
        <w:rPr>
          <w:rFonts w:ascii="Times New Roman" w:hAnsi="Times New Roman" w:cs="Times New Roman"/>
          <w:sz w:val="24"/>
          <w:szCs w:val="24"/>
        </w:rPr>
        <w:t>ions</w:t>
      </w:r>
      <w:r w:rsidRPr="001C72A4">
        <w:rPr>
          <w:rFonts w:ascii="Times New Roman" w:hAnsi="Times New Roman" w:cs="Times New Roman"/>
          <w:sz w:val="24"/>
          <w:szCs w:val="24"/>
        </w:rPr>
        <w:t xml:space="preserve"> to groups like </w:t>
      </w:r>
      <w:r>
        <w:rPr>
          <w:rFonts w:ascii="Times New Roman" w:hAnsi="Times New Roman" w:cs="Times New Roman"/>
          <w:sz w:val="24"/>
          <w:szCs w:val="24"/>
        </w:rPr>
        <w:t>Generation Now</w:t>
      </w:r>
      <w:r w:rsidRPr="001C72A4">
        <w:rPr>
          <w:rFonts w:ascii="Times New Roman" w:hAnsi="Times New Roman" w:cs="Times New Roman"/>
          <w:sz w:val="24"/>
          <w:szCs w:val="24"/>
        </w:rPr>
        <w:t xml:space="preserve">, because </w:t>
      </w:r>
      <w:r w:rsidR="006C7A99">
        <w:rPr>
          <w:rFonts w:ascii="Times New Roman" w:hAnsi="Times New Roman" w:cs="Times New Roman"/>
          <w:sz w:val="24"/>
          <w:szCs w:val="24"/>
        </w:rPr>
        <w:t xml:space="preserve">RTX </w:t>
      </w:r>
      <w:r w:rsidRPr="001C72A4">
        <w:rPr>
          <w:rFonts w:ascii="Times New Roman" w:hAnsi="Times New Roman" w:cs="Times New Roman"/>
          <w:sz w:val="24"/>
          <w:szCs w:val="24"/>
        </w:rPr>
        <w:t>fails to provide disclosure of its contributions to social welfare groups.</w:t>
      </w:r>
    </w:p>
    <w:p w14:paraId="0F972B4B" w14:textId="77777777" w:rsidR="007261DE" w:rsidRDefault="007261DE" w:rsidP="007261DE">
      <w:pPr>
        <w:spacing w:after="0" w:line="240" w:lineRule="auto"/>
        <w:rPr>
          <w:rFonts w:ascii="Times New Roman" w:hAnsi="Times New Roman" w:cs="Times New Roman"/>
          <w:sz w:val="24"/>
          <w:szCs w:val="24"/>
        </w:rPr>
      </w:pPr>
    </w:p>
    <w:p w14:paraId="05CCBAEB" w14:textId="01444C3E" w:rsidR="0089415A" w:rsidRPr="008E1396" w:rsidRDefault="00B228D6" w:rsidP="0089415A">
      <w:pPr>
        <w:pStyle w:val="ListParagraph"/>
        <w:numPr>
          <w:ilvl w:val="0"/>
          <w:numId w:val="18"/>
        </w:numPr>
        <w:tabs>
          <w:tab w:val="left" w:pos="720"/>
        </w:tabs>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RTX</w:t>
      </w:r>
      <w:r w:rsidR="00A62A58" w:rsidRPr="0036055D">
        <w:rPr>
          <w:rFonts w:ascii="Times New Roman" w:eastAsia="Times New Roman" w:hAnsi="Times New Roman" w:cs="Times New Roman"/>
          <w:b/>
          <w:bCs/>
          <w:color w:val="000000" w:themeColor="text1"/>
          <w:sz w:val="28"/>
          <w:szCs w:val="28"/>
        </w:rPr>
        <w:t xml:space="preserve">’s </w:t>
      </w:r>
      <w:r w:rsidR="0089415A" w:rsidRPr="008E1396">
        <w:rPr>
          <w:rFonts w:ascii="Times New Roman" w:hAnsi="Times New Roman" w:cs="Times New Roman"/>
          <w:b/>
          <w:bCs/>
          <w:color w:val="000000" w:themeColor="text1"/>
          <w:sz w:val="28"/>
          <w:szCs w:val="28"/>
        </w:rPr>
        <w:t xml:space="preserve">Has Its Lobbying Information and Could Easily Report It to </w:t>
      </w:r>
      <w:r w:rsidR="00ED1A2D">
        <w:rPr>
          <w:rFonts w:ascii="Times New Roman" w:hAnsi="Times New Roman" w:cs="Times New Roman"/>
          <w:b/>
          <w:bCs/>
          <w:color w:val="000000" w:themeColor="text1"/>
          <w:sz w:val="28"/>
          <w:szCs w:val="28"/>
        </w:rPr>
        <w:t>Shareowner</w:t>
      </w:r>
      <w:r w:rsidR="0089415A" w:rsidRPr="008E1396">
        <w:rPr>
          <w:rFonts w:ascii="Times New Roman" w:hAnsi="Times New Roman" w:cs="Times New Roman"/>
          <w:b/>
          <w:bCs/>
          <w:color w:val="000000" w:themeColor="text1"/>
          <w:sz w:val="28"/>
          <w:szCs w:val="28"/>
        </w:rPr>
        <w:t>s</w:t>
      </w:r>
    </w:p>
    <w:p w14:paraId="1A2B6EFD" w14:textId="430BEA18" w:rsidR="0089415A" w:rsidRPr="0035715B" w:rsidRDefault="00B228D6" w:rsidP="0089415A">
      <w:pPr>
        <w:pStyle w:val="ListParagraph"/>
        <w:numPr>
          <w:ilvl w:val="0"/>
          <w:numId w:val="19"/>
        </w:numPr>
        <w:tabs>
          <w:tab w:val="left" w:pos="720"/>
        </w:tabs>
        <w:spacing w:after="0" w:line="240" w:lineRule="auto"/>
        <w:rPr>
          <w:rFonts w:ascii="Times New Roman" w:hAnsi="Times New Roman" w:cs="Times New Roman"/>
          <w:sz w:val="24"/>
          <w:szCs w:val="24"/>
        </w:rPr>
      </w:pPr>
      <w:r w:rsidRPr="0035715B">
        <w:rPr>
          <w:rFonts w:ascii="Times New Roman" w:hAnsi="Times New Roman" w:cs="Times New Roman"/>
          <w:sz w:val="24"/>
          <w:szCs w:val="24"/>
        </w:rPr>
        <w:t>RTX</w:t>
      </w:r>
      <w:r w:rsidR="0089415A" w:rsidRPr="0035715B">
        <w:rPr>
          <w:rFonts w:ascii="Times New Roman" w:hAnsi="Times New Roman" w:cs="Times New Roman"/>
          <w:color w:val="000000" w:themeColor="text1"/>
          <w:sz w:val="24"/>
          <w:szCs w:val="24"/>
        </w:rPr>
        <w:t xml:space="preserve"> </w:t>
      </w:r>
      <w:r w:rsidR="00D515DC" w:rsidRPr="0035715B">
        <w:rPr>
          <w:rFonts w:ascii="Times New Roman" w:hAnsi="Times New Roman" w:cs="Times New Roman"/>
          <w:color w:val="000000" w:themeColor="text1"/>
          <w:sz w:val="24"/>
          <w:szCs w:val="24"/>
        </w:rPr>
        <w:t xml:space="preserve">asserts “we </w:t>
      </w:r>
      <w:r w:rsidR="00D5485F" w:rsidRPr="0035715B">
        <w:rPr>
          <w:rFonts w:ascii="Times New Roman" w:hAnsi="Times New Roman" w:cs="Times New Roman"/>
          <w:color w:val="000000"/>
          <w:sz w:val="24"/>
          <w:szCs w:val="24"/>
          <w:shd w:val="clear" w:color="auto" w:fill="FFFFFF"/>
        </w:rPr>
        <w:t>already provide detailed disclosure of the matters that are the subject of this proposal, we believe the report requested by this proposal is unnecessary and would not be a worthwhile use of Company resources.</w:t>
      </w:r>
      <w:r w:rsidR="0089415A" w:rsidRPr="0035715B">
        <w:rPr>
          <w:rFonts w:ascii="Times New Roman" w:hAnsi="Times New Roman" w:cs="Times New Roman"/>
          <w:sz w:val="24"/>
          <w:szCs w:val="24"/>
        </w:rPr>
        <w:t>”</w:t>
      </w:r>
    </w:p>
    <w:p w14:paraId="3DB290ED" w14:textId="2CCDB425" w:rsidR="0035715B" w:rsidRPr="0035715B" w:rsidRDefault="0035715B" w:rsidP="0089415A">
      <w:pPr>
        <w:pStyle w:val="ListParagraph"/>
        <w:numPr>
          <w:ilvl w:val="0"/>
          <w:numId w:val="19"/>
        </w:numPr>
        <w:tabs>
          <w:tab w:val="left" w:pos="720"/>
        </w:tabs>
        <w:spacing w:after="0" w:line="240" w:lineRule="auto"/>
        <w:rPr>
          <w:rFonts w:ascii="Times New Roman" w:hAnsi="Times New Roman" w:cs="Times New Roman"/>
          <w:sz w:val="24"/>
          <w:szCs w:val="24"/>
        </w:rPr>
      </w:pPr>
      <w:r w:rsidRPr="0035715B">
        <w:rPr>
          <w:rFonts w:ascii="Times New Roman" w:hAnsi="Times New Roman" w:cs="Times New Roman"/>
          <w:sz w:val="24"/>
          <w:szCs w:val="24"/>
        </w:rPr>
        <w:t>This argument is false</w:t>
      </w:r>
      <w:r w:rsidR="00E8063C">
        <w:rPr>
          <w:rFonts w:ascii="Times New Roman" w:hAnsi="Times New Roman" w:cs="Times New Roman"/>
          <w:sz w:val="24"/>
          <w:szCs w:val="24"/>
        </w:rPr>
        <w:t xml:space="preserve">. As detailed, </w:t>
      </w:r>
      <w:r w:rsidRPr="0035715B">
        <w:rPr>
          <w:rFonts w:ascii="Times New Roman" w:hAnsi="Times New Roman" w:cs="Times New Roman"/>
          <w:color w:val="000000" w:themeColor="text1"/>
          <w:sz w:val="24"/>
          <w:szCs w:val="24"/>
        </w:rPr>
        <w:t xml:space="preserve">RTX fails to provide shareowners critical information on its trade association and social welfare group memberships, including </w:t>
      </w:r>
      <w:r w:rsidR="00B32546">
        <w:rPr>
          <w:rFonts w:ascii="Times New Roman" w:hAnsi="Times New Roman" w:cs="Times New Roman"/>
          <w:color w:val="000000" w:themeColor="text1"/>
          <w:sz w:val="24"/>
          <w:szCs w:val="24"/>
        </w:rPr>
        <w:t xml:space="preserve">omitting certain trade association memberships and leaving out </w:t>
      </w:r>
      <w:r w:rsidRPr="0035715B">
        <w:rPr>
          <w:rFonts w:ascii="Times New Roman" w:hAnsi="Times New Roman" w:cs="Times New Roman"/>
          <w:color w:val="000000" w:themeColor="text1"/>
          <w:sz w:val="24"/>
          <w:szCs w:val="24"/>
        </w:rPr>
        <w:t xml:space="preserve">the amounts of RTX’s </w:t>
      </w:r>
      <w:r w:rsidR="008E1F42">
        <w:rPr>
          <w:rFonts w:ascii="Times New Roman" w:hAnsi="Times New Roman" w:cs="Times New Roman"/>
          <w:color w:val="000000" w:themeColor="text1"/>
          <w:sz w:val="24"/>
          <w:szCs w:val="24"/>
        </w:rPr>
        <w:t xml:space="preserve">its </w:t>
      </w:r>
      <w:r w:rsidRPr="0035715B">
        <w:rPr>
          <w:rFonts w:ascii="Times New Roman" w:hAnsi="Times New Roman" w:cs="Times New Roman"/>
          <w:color w:val="000000" w:themeColor="text1"/>
          <w:sz w:val="24"/>
          <w:szCs w:val="24"/>
        </w:rPr>
        <w:t xml:space="preserve">payments </w:t>
      </w:r>
      <w:r w:rsidR="008E1F42">
        <w:rPr>
          <w:rFonts w:ascii="Times New Roman" w:hAnsi="Times New Roman" w:cs="Times New Roman"/>
          <w:color w:val="000000" w:themeColor="text1"/>
          <w:sz w:val="24"/>
          <w:szCs w:val="24"/>
        </w:rPr>
        <w:t>to social welfare groups</w:t>
      </w:r>
      <w:r w:rsidR="002029AD">
        <w:rPr>
          <w:rFonts w:ascii="Times New Roman" w:hAnsi="Times New Roman" w:cs="Times New Roman"/>
          <w:color w:val="000000" w:themeColor="text1"/>
          <w:sz w:val="24"/>
          <w:szCs w:val="24"/>
        </w:rPr>
        <w:t xml:space="preserve">, including amounts </w:t>
      </w:r>
      <w:r w:rsidRPr="0035715B">
        <w:rPr>
          <w:rFonts w:ascii="Times New Roman" w:hAnsi="Times New Roman" w:cs="Times New Roman"/>
          <w:color w:val="000000" w:themeColor="text1"/>
          <w:sz w:val="24"/>
          <w:szCs w:val="24"/>
        </w:rPr>
        <w:t>being used to lobby.</w:t>
      </w:r>
    </w:p>
    <w:p w14:paraId="0F4D9A6F" w14:textId="0863B573" w:rsidR="0089415A" w:rsidRPr="001F700F" w:rsidRDefault="00EF1C30" w:rsidP="0089415A">
      <w:pPr>
        <w:pStyle w:val="ListParagraph"/>
        <w:numPr>
          <w:ilvl w:val="0"/>
          <w:numId w:val="19"/>
        </w:numPr>
        <w:spacing w:after="0" w:line="240" w:lineRule="auto"/>
        <w:rPr>
          <w:rFonts w:ascii="Times New Roman" w:hAnsi="Times New Roman" w:cs="Times New Roman"/>
          <w:color w:val="000000" w:themeColor="text1"/>
          <w:sz w:val="24"/>
          <w:szCs w:val="24"/>
        </w:rPr>
      </w:pPr>
      <w:r w:rsidRPr="001F700F">
        <w:rPr>
          <w:rFonts w:ascii="Times New Roman" w:hAnsi="Times New Roman" w:cs="Times New Roman"/>
          <w:color w:val="000000" w:themeColor="text1"/>
          <w:sz w:val="24"/>
          <w:szCs w:val="24"/>
        </w:rPr>
        <w:t xml:space="preserve">RTX also claims </w:t>
      </w:r>
      <w:r w:rsidR="001F700F" w:rsidRPr="001F700F">
        <w:rPr>
          <w:rFonts w:ascii="Times New Roman" w:hAnsi="Times New Roman" w:cs="Times New Roman"/>
          <w:color w:val="000000" w:themeColor="text1"/>
          <w:sz w:val="24"/>
          <w:szCs w:val="24"/>
        </w:rPr>
        <w:t xml:space="preserve">producing a lobbying report </w:t>
      </w:r>
      <w:r w:rsidR="00B0713C">
        <w:rPr>
          <w:rFonts w:ascii="Times New Roman" w:hAnsi="Times New Roman" w:cs="Times New Roman"/>
          <w:color w:val="000000" w:themeColor="text1"/>
          <w:sz w:val="24"/>
          <w:szCs w:val="24"/>
        </w:rPr>
        <w:t>“</w:t>
      </w:r>
      <w:r w:rsidR="00B0713C" w:rsidRPr="00B0713C">
        <w:rPr>
          <w:rFonts w:ascii="Times New Roman" w:hAnsi="Times New Roman" w:cs="Times New Roman"/>
          <w:color w:val="000000" w:themeColor="text1"/>
          <w:sz w:val="24"/>
          <w:szCs w:val="24"/>
        </w:rPr>
        <w:t>would result in redundant disclosures and unnecessary expenditure of the Company’s resources</w:t>
      </w:r>
      <w:r w:rsidR="00B0713C">
        <w:rPr>
          <w:rFonts w:ascii="Times New Roman" w:hAnsi="Times New Roman" w:cs="Times New Roman"/>
          <w:color w:val="000000" w:themeColor="text1"/>
          <w:sz w:val="24"/>
          <w:szCs w:val="24"/>
        </w:rPr>
        <w:t>.”</w:t>
      </w:r>
      <w:r w:rsidR="001F700F" w:rsidRPr="001F700F">
        <w:rPr>
          <w:rFonts w:ascii="Times New Roman" w:hAnsi="Times New Roman" w:cs="Times New Roman"/>
          <w:color w:val="000000"/>
          <w:sz w:val="24"/>
          <w:szCs w:val="24"/>
          <w:shd w:val="clear" w:color="auto" w:fill="FFFFFF"/>
        </w:rPr>
        <w:t xml:space="preserve"> </w:t>
      </w:r>
      <w:r w:rsidR="0089415A" w:rsidRPr="001F700F">
        <w:rPr>
          <w:rFonts w:ascii="Times New Roman" w:hAnsi="Times New Roman" w:cs="Times New Roman"/>
          <w:color w:val="000000" w:themeColor="text1"/>
          <w:sz w:val="24"/>
          <w:szCs w:val="24"/>
        </w:rPr>
        <w:t xml:space="preserve">This argument is </w:t>
      </w:r>
      <w:r w:rsidR="00101E13" w:rsidRPr="001F700F">
        <w:rPr>
          <w:rFonts w:ascii="Times New Roman" w:hAnsi="Times New Roman" w:cs="Times New Roman"/>
          <w:color w:val="000000" w:themeColor="text1"/>
          <w:sz w:val="24"/>
          <w:szCs w:val="24"/>
        </w:rPr>
        <w:t xml:space="preserve">also </w:t>
      </w:r>
      <w:r w:rsidR="0089415A" w:rsidRPr="001F700F">
        <w:rPr>
          <w:rFonts w:ascii="Times New Roman" w:hAnsi="Times New Roman" w:cs="Times New Roman"/>
          <w:color w:val="000000" w:themeColor="text1"/>
          <w:sz w:val="24"/>
          <w:szCs w:val="24"/>
        </w:rPr>
        <w:t xml:space="preserve">disingenuous, as </w:t>
      </w:r>
      <w:r w:rsidR="00B228D6" w:rsidRPr="001F700F">
        <w:rPr>
          <w:rFonts w:ascii="Times New Roman" w:hAnsi="Times New Roman" w:cs="Times New Roman"/>
          <w:color w:val="000000" w:themeColor="text1"/>
          <w:sz w:val="24"/>
          <w:szCs w:val="24"/>
        </w:rPr>
        <w:t>RTX</w:t>
      </w:r>
      <w:r w:rsidR="006B300B">
        <w:rPr>
          <w:rFonts w:ascii="Times New Roman" w:hAnsi="Times New Roman" w:cs="Times New Roman"/>
          <w:color w:val="000000" w:themeColor="text1"/>
          <w:sz w:val="24"/>
          <w:szCs w:val="24"/>
        </w:rPr>
        <w:t xml:space="preserve"> fails to report its </w:t>
      </w:r>
      <w:r w:rsidR="00E60533">
        <w:rPr>
          <w:rFonts w:ascii="Times New Roman" w:hAnsi="Times New Roman" w:cs="Times New Roman"/>
          <w:color w:val="000000" w:themeColor="text1"/>
          <w:sz w:val="24"/>
          <w:szCs w:val="24"/>
        </w:rPr>
        <w:t>federal</w:t>
      </w:r>
      <w:r w:rsidR="006B300B">
        <w:rPr>
          <w:rFonts w:ascii="Times New Roman" w:hAnsi="Times New Roman" w:cs="Times New Roman"/>
          <w:color w:val="000000" w:themeColor="text1"/>
          <w:sz w:val="24"/>
          <w:szCs w:val="24"/>
        </w:rPr>
        <w:t xml:space="preserve"> and state </w:t>
      </w:r>
      <w:r w:rsidR="00E60533">
        <w:rPr>
          <w:rFonts w:ascii="Times New Roman" w:hAnsi="Times New Roman" w:cs="Times New Roman"/>
          <w:color w:val="000000" w:themeColor="text1"/>
          <w:sz w:val="24"/>
          <w:szCs w:val="24"/>
        </w:rPr>
        <w:t>lobbying</w:t>
      </w:r>
      <w:r w:rsidR="006B300B">
        <w:rPr>
          <w:rFonts w:ascii="Times New Roman" w:hAnsi="Times New Roman" w:cs="Times New Roman"/>
          <w:color w:val="000000" w:themeColor="text1"/>
          <w:sz w:val="24"/>
          <w:szCs w:val="24"/>
        </w:rPr>
        <w:t xml:space="preserve"> amounts as requested</w:t>
      </w:r>
      <w:r w:rsidR="00E60533">
        <w:rPr>
          <w:rFonts w:ascii="Times New Roman" w:hAnsi="Times New Roman" w:cs="Times New Roman"/>
          <w:color w:val="000000" w:themeColor="text1"/>
          <w:sz w:val="24"/>
          <w:szCs w:val="24"/>
        </w:rPr>
        <w:t xml:space="preserve"> and</w:t>
      </w:r>
      <w:r w:rsidR="0089415A" w:rsidRPr="001F700F">
        <w:rPr>
          <w:rFonts w:ascii="Times New Roman" w:hAnsi="Times New Roman" w:cs="Times New Roman"/>
          <w:color w:val="000000" w:themeColor="text1"/>
          <w:sz w:val="24"/>
          <w:szCs w:val="24"/>
        </w:rPr>
        <w:t xml:space="preserve"> is required to report its federal and state lobbying, including all indirect lobbying</w:t>
      </w:r>
      <w:r w:rsidR="00E60533">
        <w:rPr>
          <w:rFonts w:ascii="Times New Roman" w:hAnsi="Times New Roman" w:cs="Times New Roman"/>
          <w:color w:val="000000" w:themeColor="text1"/>
          <w:sz w:val="24"/>
          <w:szCs w:val="24"/>
        </w:rPr>
        <w:t xml:space="preserve">, </w:t>
      </w:r>
      <w:r w:rsidR="0089415A" w:rsidRPr="001F700F">
        <w:rPr>
          <w:rFonts w:ascii="Times New Roman" w:hAnsi="Times New Roman" w:cs="Times New Roman"/>
          <w:color w:val="000000" w:themeColor="text1"/>
          <w:sz w:val="24"/>
          <w:szCs w:val="24"/>
        </w:rPr>
        <w:t xml:space="preserve">and has all of this information, so it could be readily provided to </w:t>
      </w:r>
      <w:r w:rsidR="00ED1A2D" w:rsidRPr="001F700F">
        <w:rPr>
          <w:rFonts w:ascii="Times New Roman" w:hAnsi="Times New Roman" w:cs="Times New Roman"/>
          <w:color w:val="000000" w:themeColor="text1"/>
          <w:sz w:val="24"/>
          <w:szCs w:val="24"/>
        </w:rPr>
        <w:t>shareowner</w:t>
      </w:r>
      <w:r w:rsidR="0089415A" w:rsidRPr="001F700F">
        <w:rPr>
          <w:rFonts w:ascii="Times New Roman" w:hAnsi="Times New Roman" w:cs="Times New Roman"/>
          <w:color w:val="000000" w:themeColor="text1"/>
          <w:sz w:val="24"/>
          <w:szCs w:val="24"/>
        </w:rPr>
        <w:t xml:space="preserve">s in a single report at minimal expense. </w:t>
      </w:r>
    </w:p>
    <w:p w14:paraId="7F254B33" w14:textId="5E3D5038" w:rsidR="006619F4" w:rsidRPr="005B06AE" w:rsidRDefault="00B228D6" w:rsidP="0089415A">
      <w:pPr>
        <w:pStyle w:val="ListParagraph"/>
        <w:numPr>
          <w:ilvl w:val="0"/>
          <w:numId w:val="1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RTX</w:t>
      </w:r>
      <w:r w:rsidR="006619F4">
        <w:rPr>
          <w:rFonts w:ascii="Times New Roman" w:hAnsi="Times New Roman" w:cs="Times New Roman"/>
          <w:color w:val="000000" w:themeColor="text1"/>
          <w:sz w:val="24"/>
          <w:szCs w:val="24"/>
        </w:rPr>
        <w:t xml:space="preserve"> </w:t>
      </w:r>
      <w:r w:rsidR="006619F4">
        <w:rPr>
          <w:rFonts w:ascii="Times New Roman" w:eastAsia="Times New Roman" w:hAnsi="Times New Roman" w:cs="Times New Roman"/>
          <w:color w:val="000000" w:themeColor="text1"/>
          <w:sz w:val="24"/>
          <w:szCs w:val="24"/>
        </w:rPr>
        <w:t>discusses a high ranking for political contributions disclosure, yet this proposal is asking for lobbying disclosure. It is disingenuous and misleading for our company to confuse this point</w:t>
      </w:r>
      <w:r w:rsidR="002A5059">
        <w:rPr>
          <w:rFonts w:ascii="Times New Roman" w:eastAsia="Times New Roman" w:hAnsi="Times New Roman" w:cs="Times New Roman"/>
          <w:color w:val="000000" w:themeColor="text1"/>
          <w:sz w:val="24"/>
          <w:szCs w:val="24"/>
        </w:rPr>
        <w:t xml:space="preserve"> by claiming to be “</w:t>
      </w:r>
      <w:r w:rsidR="002A5059" w:rsidRPr="002A5059">
        <w:rPr>
          <w:rFonts w:ascii="Times New Roman" w:eastAsia="Times New Roman" w:hAnsi="Times New Roman" w:cs="Times New Roman"/>
          <w:color w:val="000000" w:themeColor="text1"/>
          <w:sz w:val="24"/>
          <w:szCs w:val="24"/>
        </w:rPr>
        <w:t>a recognized industry leader in these areas</w:t>
      </w:r>
      <w:r w:rsidR="00931413">
        <w:rPr>
          <w:rFonts w:ascii="Times New Roman" w:eastAsia="Times New Roman" w:hAnsi="Times New Roman" w:cs="Times New Roman"/>
          <w:color w:val="000000" w:themeColor="text1"/>
          <w:sz w:val="24"/>
          <w:szCs w:val="24"/>
        </w:rPr>
        <w:t>.</w:t>
      </w:r>
      <w:r w:rsidR="002A5059">
        <w:rPr>
          <w:rFonts w:ascii="Times New Roman" w:eastAsia="Times New Roman" w:hAnsi="Times New Roman" w:cs="Times New Roman"/>
          <w:color w:val="000000" w:themeColor="text1"/>
          <w:sz w:val="24"/>
          <w:szCs w:val="24"/>
        </w:rPr>
        <w:t>”</w:t>
      </w:r>
      <w:r w:rsidR="006619F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RTX</w:t>
      </w:r>
      <w:r w:rsidR="006619F4">
        <w:rPr>
          <w:rFonts w:ascii="Times New Roman" w:eastAsia="Times New Roman" w:hAnsi="Times New Roman" w:cs="Times New Roman"/>
          <w:color w:val="000000" w:themeColor="text1"/>
          <w:sz w:val="24"/>
          <w:szCs w:val="24"/>
        </w:rPr>
        <w:t xml:space="preserve">’s </w:t>
      </w:r>
      <w:r w:rsidR="006619F4" w:rsidRPr="696EF02E">
        <w:rPr>
          <w:rFonts w:ascii="Times New Roman" w:eastAsia="Times New Roman" w:hAnsi="Times New Roman" w:cs="Times New Roman"/>
          <w:color w:val="000000" w:themeColor="text1"/>
          <w:sz w:val="24"/>
          <w:szCs w:val="24"/>
        </w:rPr>
        <w:t>CPA-Zicklin ranking has nothing to do with lobbying spending disclosure.</w:t>
      </w:r>
    </w:p>
    <w:p w14:paraId="03453E55" w14:textId="77777777" w:rsidR="0089415A" w:rsidRPr="009A7579" w:rsidRDefault="0089415A" w:rsidP="0089415A">
      <w:pPr>
        <w:spacing w:after="0" w:line="240" w:lineRule="auto"/>
        <w:rPr>
          <w:rFonts w:ascii="Times New Roman" w:hAnsi="Times New Roman" w:cs="Times New Roman"/>
          <w:b/>
          <w:bCs/>
          <w:sz w:val="24"/>
          <w:szCs w:val="24"/>
        </w:rPr>
      </w:pPr>
    </w:p>
    <w:p w14:paraId="1274E799" w14:textId="77777777" w:rsidR="0089415A" w:rsidRPr="009A7579" w:rsidRDefault="0089415A" w:rsidP="0089415A">
      <w:pPr>
        <w:spacing w:after="0" w:line="240" w:lineRule="auto"/>
        <w:rPr>
          <w:rFonts w:ascii="Times New Roman" w:hAnsi="Times New Roman" w:cs="Times New Roman"/>
          <w:b/>
          <w:bCs/>
          <w:sz w:val="24"/>
          <w:szCs w:val="24"/>
        </w:rPr>
      </w:pPr>
      <w:r w:rsidRPr="009A7579">
        <w:rPr>
          <w:rFonts w:ascii="Times New Roman" w:hAnsi="Times New Roman" w:cs="Times New Roman"/>
          <w:b/>
          <w:bCs/>
          <w:sz w:val="24"/>
          <w:szCs w:val="24"/>
        </w:rPr>
        <w:t xml:space="preserve">Lobbying Transparency: What Gets Disclosed Gets Managed. </w:t>
      </w:r>
    </w:p>
    <w:p w14:paraId="29E58C36" w14:textId="6F0701E5" w:rsidR="0089415A" w:rsidRPr="009A7579" w:rsidRDefault="0089415A" w:rsidP="0089415A">
      <w:pPr>
        <w:pStyle w:val="ListParagraph"/>
        <w:numPr>
          <w:ilvl w:val="0"/>
          <w:numId w:val="20"/>
        </w:numPr>
        <w:spacing w:after="0" w:line="240" w:lineRule="auto"/>
        <w:rPr>
          <w:rFonts w:ascii="Times New Roman" w:hAnsi="Times New Roman" w:cs="Times New Roman"/>
          <w:sz w:val="24"/>
          <w:szCs w:val="24"/>
        </w:rPr>
      </w:pPr>
      <w:r w:rsidRPr="009A7579">
        <w:rPr>
          <w:rFonts w:ascii="Times New Roman" w:hAnsi="Times New Roman" w:cs="Times New Roman"/>
          <w:sz w:val="24"/>
          <w:szCs w:val="24"/>
        </w:rPr>
        <w:lastRenderedPageBreak/>
        <w:t xml:space="preserve">If </w:t>
      </w:r>
      <w:r w:rsidR="00B228D6">
        <w:rPr>
          <w:rFonts w:ascii="Times New Roman" w:hAnsi="Times New Roman" w:cs="Times New Roman"/>
          <w:sz w:val="24"/>
          <w:szCs w:val="24"/>
        </w:rPr>
        <w:t>RTX</w:t>
      </w:r>
      <w:r w:rsidRPr="009A7579">
        <w:rPr>
          <w:rFonts w:ascii="Times New Roman" w:hAnsi="Times New Roman" w:cs="Times New Roman"/>
          <w:sz w:val="24"/>
          <w:szCs w:val="24"/>
        </w:rPr>
        <w:t xml:space="preserve"> has nothing to hide, transparent disclosure would simply show that its lobbying is being done for the company and </w:t>
      </w:r>
      <w:r w:rsidR="00ED1A2D">
        <w:rPr>
          <w:rFonts w:ascii="Times New Roman" w:eastAsia="Times New Roman" w:hAnsi="Times New Roman" w:cs="Times New Roman"/>
          <w:sz w:val="24"/>
          <w:szCs w:val="24"/>
        </w:rPr>
        <w:t>shareowner</w:t>
      </w:r>
      <w:r>
        <w:rPr>
          <w:rFonts w:ascii="Times New Roman" w:eastAsia="Times New Roman" w:hAnsi="Times New Roman" w:cs="Times New Roman"/>
          <w:sz w:val="24"/>
          <w:szCs w:val="24"/>
        </w:rPr>
        <w:t>s</w:t>
      </w:r>
      <w:r w:rsidRPr="009A7579">
        <w:rPr>
          <w:rFonts w:ascii="Times New Roman" w:hAnsi="Times New Roman" w:cs="Times New Roman"/>
          <w:sz w:val="24"/>
          <w:szCs w:val="24"/>
        </w:rPr>
        <w:t>’ best interests.</w:t>
      </w:r>
    </w:p>
    <w:p w14:paraId="6640C3DD" w14:textId="160B4769" w:rsidR="0089415A" w:rsidRPr="009A7579" w:rsidRDefault="0089415A" w:rsidP="0089415A">
      <w:pPr>
        <w:pStyle w:val="ListParagraph"/>
        <w:numPr>
          <w:ilvl w:val="0"/>
          <w:numId w:val="20"/>
        </w:numPr>
        <w:spacing w:after="0" w:line="240" w:lineRule="auto"/>
        <w:rPr>
          <w:rFonts w:ascii="Times New Roman" w:hAnsi="Times New Roman" w:cs="Times New Roman"/>
          <w:sz w:val="24"/>
          <w:szCs w:val="24"/>
        </w:rPr>
      </w:pPr>
      <w:r w:rsidRPr="009A7579">
        <w:rPr>
          <w:rFonts w:ascii="Times New Roman" w:hAnsi="Times New Roman" w:cs="Times New Roman"/>
          <w:sz w:val="24"/>
          <w:szCs w:val="24"/>
        </w:rPr>
        <w:t xml:space="preserve">Knowing our company’s lobbying will be disclosed will ensure board and management oversight to safeguard that lobbying is being done in </w:t>
      </w:r>
      <w:r w:rsidR="00ED1A2D">
        <w:rPr>
          <w:rFonts w:ascii="Times New Roman" w:eastAsia="Times New Roman" w:hAnsi="Times New Roman" w:cs="Times New Roman"/>
          <w:sz w:val="24"/>
          <w:szCs w:val="24"/>
        </w:rPr>
        <w:t>shareowner</w:t>
      </w:r>
      <w:r w:rsidRPr="009A7579">
        <w:rPr>
          <w:rFonts w:ascii="Times New Roman" w:hAnsi="Times New Roman" w:cs="Times New Roman"/>
          <w:sz w:val="24"/>
          <w:szCs w:val="24"/>
        </w:rPr>
        <w:t xml:space="preserve"> and </w:t>
      </w:r>
      <w:r w:rsidR="00B228D6">
        <w:rPr>
          <w:rFonts w:ascii="Times New Roman" w:hAnsi="Times New Roman" w:cs="Times New Roman"/>
          <w:sz w:val="24"/>
          <w:szCs w:val="24"/>
        </w:rPr>
        <w:t>RTX</w:t>
      </w:r>
      <w:r w:rsidRPr="009A7579">
        <w:rPr>
          <w:rFonts w:ascii="Times New Roman" w:hAnsi="Times New Roman" w:cs="Times New Roman"/>
          <w:sz w:val="24"/>
          <w:szCs w:val="24"/>
        </w:rPr>
        <w:t xml:space="preserve">’s best interests. </w:t>
      </w:r>
    </w:p>
    <w:p w14:paraId="5DA6E3BA" w14:textId="77777777" w:rsidR="0089415A" w:rsidRPr="009A7579" w:rsidRDefault="0089415A" w:rsidP="0089415A">
      <w:pPr>
        <w:spacing w:after="0" w:line="240" w:lineRule="auto"/>
        <w:rPr>
          <w:rFonts w:ascii="Times New Roman" w:hAnsi="Times New Roman" w:cs="Times New Roman"/>
          <w:sz w:val="24"/>
          <w:szCs w:val="24"/>
        </w:rPr>
      </w:pPr>
    </w:p>
    <w:p w14:paraId="667B4CBB" w14:textId="4201EEC0" w:rsidR="0089415A" w:rsidRPr="009A7579" w:rsidRDefault="0089415A" w:rsidP="0089415A">
      <w:pPr>
        <w:tabs>
          <w:tab w:val="left" w:pos="720"/>
        </w:tabs>
        <w:spacing w:after="0" w:line="240" w:lineRule="auto"/>
        <w:rPr>
          <w:rFonts w:ascii="Times New Roman" w:hAnsi="Times New Roman" w:cs="Times New Roman"/>
          <w:sz w:val="24"/>
          <w:szCs w:val="24"/>
        </w:rPr>
      </w:pPr>
      <w:r w:rsidRPr="009A7579">
        <w:rPr>
          <w:rFonts w:ascii="Times New Roman" w:hAnsi="Times New Roman" w:cs="Times New Roman"/>
          <w:sz w:val="24"/>
          <w:szCs w:val="24"/>
        </w:rPr>
        <w:t xml:space="preserve">The well-documented reputational risks of </w:t>
      </w:r>
      <w:r w:rsidR="00B228D6">
        <w:rPr>
          <w:rFonts w:ascii="Times New Roman" w:hAnsi="Times New Roman" w:cs="Times New Roman"/>
          <w:sz w:val="24"/>
          <w:szCs w:val="24"/>
        </w:rPr>
        <w:t>RTX</w:t>
      </w:r>
      <w:r>
        <w:rPr>
          <w:rFonts w:ascii="Times New Roman" w:hAnsi="Times New Roman" w:cs="Times New Roman"/>
          <w:sz w:val="24"/>
          <w:szCs w:val="24"/>
        </w:rPr>
        <w:t>’</w:t>
      </w:r>
      <w:r w:rsidR="00AD4E96">
        <w:rPr>
          <w:rFonts w:ascii="Times New Roman" w:hAnsi="Times New Roman" w:cs="Times New Roman"/>
          <w:sz w:val="24"/>
          <w:szCs w:val="24"/>
        </w:rPr>
        <w:t>s</w:t>
      </w:r>
      <w:r w:rsidRPr="009A7579">
        <w:rPr>
          <w:rFonts w:ascii="Times New Roman" w:hAnsi="Times New Roman" w:cs="Times New Roman"/>
          <w:sz w:val="24"/>
          <w:szCs w:val="24"/>
        </w:rPr>
        <w:t xml:space="preserve"> lobbying and its inadequate lobbying disclosure policies highlight the critical need for the Company to improve its lobbying disclosures and increase transparency around its lobbying policies, procedures and spending details. </w:t>
      </w:r>
    </w:p>
    <w:p w14:paraId="233B8CEF" w14:textId="77777777" w:rsidR="0089415A" w:rsidRPr="009A7579" w:rsidRDefault="0089415A" w:rsidP="0089415A">
      <w:pPr>
        <w:spacing w:after="0" w:line="240" w:lineRule="auto"/>
        <w:rPr>
          <w:rFonts w:ascii="Times New Roman" w:hAnsi="Times New Roman" w:cs="Times New Roman"/>
          <w:sz w:val="24"/>
          <w:szCs w:val="24"/>
        </w:rPr>
      </w:pPr>
    </w:p>
    <w:p w14:paraId="3E9A6EFC" w14:textId="4D30892B" w:rsidR="0089415A" w:rsidRPr="009A7579" w:rsidRDefault="0089415A" w:rsidP="0089415A">
      <w:pPr>
        <w:pStyle w:val="BodyA"/>
        <w:ind w:firstLine="0"/>
        <w:rPr>
          <w:szCs w:val="24"/>
        </w:rPr>
      </w:pPr>
      <w:r w:rsidRPr="009A7579">
        <w:rPr>
          <w:szCs w:val="24"/>
        </w:rPr>
        <w:t xml:space="preserve">For all of the above reasons, I believe that </w:t>
      </w:r>
      <w:r w:rsidR="00B228D6">
        <w:rPr>
          <w:szCs w:val="24"/>
        </w:rPr>
        <w:t>RTX</w:t>
      </w:r>
      <w:r w:rsidRPr="009A7579">
        <w:rPr>
          <w:szCs w:val="24"/>
        </w:rPr>
        <w:t>’</w:t>
      </w:r>
      <w:r w:rsidR="00AD4E96">
        <w:rPr>
          <w:szCs w:val="24"/>
        </w:rPr>
        <w:t>s</w:t>
      </w:r>
      <w:r w:rsidRPr="009A7579">
        <w:rPr>
          <w:szCs w:val="24"/>
        </w:rPr>
        <w:t xml:space="preserve"> current lobbying disclosures are inadequate to protect </w:t>
      </w:r>
      <w:r w:rsidR="00ED1A2D">
        <w:rPr>
          <w:rFonts w:eastAsia="Times New Roman"/>
          <w:szCs w:val="24"/>
        </w:rPr>
        <w:t>shareowner</w:t>
      </w:r>
      <w:r w:rsidRPr="009A7579">
        <w:rPr>
          <w:szCs w:val="24"/>
        </w:rPr>
        <w:t xml:space="preserve"> interests. I urge you to vote FOR Proposal </w:t>
      </w:r>
      <w:r w:rsidR="00260AB9">
        <w:rPr>
          <w:szCs w:val="24"/>
        </w:rPr>
        <w:t>4</w:t>
      </w:r>
      <w:r w:rsidRPr="009A7579">
        <w:rPr>
          <w:szCs w:val="24"/>
        </w:rPr>
        <w:t xml:space="preserve">, </w:t>
      </w:r>
      <w:r w:rsidRPr="009A7579">
        <w:rPr>
          <w:rFonts w:eastAsia="Times New Roman"/>
          <w:szCs w:val="24"/>
        </w:rPr>
        <w:t xml:space="preserve">the </w:t>
      </w:r>
      <w:r w:rsidR="00ED1A2D">
        <w:rPr>
          <w:rFonts w:eastAsia="Times New Roman"/>
          <w:szCs w:val="24"/>
        </w:rPr>
        <w:t>shareowner</w:t>
      </w:r>
      <w:r w:rsidR="00782D7F">
        <w:rPr>
          <w:rFonts w:eastAsia="Times New Roman"/>
          <w:szCs w:val="24"/>
        </w:rPr>
        <w:t xml:space="preserve"> </w:t>
      </w:r>
      <w:r w:rsidRPr="009A7579">
        <w:rPr>
          <w:rFonts w:eastAsia="Times New Roman"/>
          <w:szCs w:val="24"/>
        </w:rPr>
        <w:t xml:space="preserve">proposal requesting an annual report on </w:t>
      </w:r>
      <w:r w:rsidR="00B228D6">
        <w:rPr>
          <w:szCs w:val="24"/>
        </w:rPr>
        <w:t>RTX</w:t>
      </w:r>
      <w:r w:rsidRPr="009A7579">
        <w:rPr>
          <w:szCs w:val="24"/>
        </w:rPr>
        <w:t>’</w:t>
      </w:r>
      <w:r w:rsidR="00AD4E96">
        <w:rPr>
          <w:szCs w:val="24"/>
        </w:rPr>
        <w:t>s</w:t>
      </w:r>
      <w:r w:rsidRPr="009A7579">
        <w:rPr>
          <w:rFonts w:eastAsia="Times New Roman"/>
          <w:szCs w:val="24"/>
        </w:rPr>
        <w:t xml:space="preserve"> lobbying expenditures.</w:t>
      </w:r>
    </w:p>
    <w:p w14:paraId="45A0A24C" w14:textId="77777777" w:rsidR="0089415A" w:rsidRPr="009A7579" w:rsidRDefault="0089415A" w:rsidP="0089415A">
      <w:pPr>
        <w:pStyle w:val="BodyA"/>
        <w:ind w:firstLine="0"/>
        <w:rPr>
          <w:szCs w:val="24"/>
          <w:u w:val="single"/>
        </w:rPr>
      </w:pPr>
    </w:p>
    <w:p w14:paraId="3E7F14E7" w14:textId="77777777" w:rsidR="0089415A" w:rsidRPr="009A7579" w:rsidRDefault="0089415A" w:rsidP="0089415A">
      <w:pPr>
        <w:spacing w:after="0" w:line="240" w:lineRule="auto"/>
        <w:rPr>
          <w:rFonts w:ascii="Times New Roman" w:eastAsia="Times New Roman" w:hAnsi="Times New Roman" w:cs="Times New Roman"/>
          <w:sz w:val="24"/>
          <w:szCs w:val="24"/>
        </w:rPr>
      </w:pPr>
      <w:r w:rsidRPr="009A7579">
        <w:rPr>
          <w:rFonts w:ascii="Times New Roman" w:eastAsia="Times New Roman" w:hAnsi="Times New Roman" w:cs="Times New Roman"/>
          <w:sz w:val="24"/>
          <w:szCs w:val="24"/>
        </w:rPr>
        <w:t>Sincerely,</w:t>
      </w:r>
    </w:p>
    <w:p w14:paraId="5460CCE2" w14:textId="77777777" w:rsidR="0089415A" w:rsidRPr="009A7579" w:rsidRDefault="0089415A" w:rsidP="0089415A">
      <w:pPr>
        <w:spacing w:after="0" w:line="240" w:lineRule="auto"/>
        <w:rPr>
          <w:rFonts w:ascii="Times New Roman" w:eastAsia="Times New Roman" w:hAnsi="Times New Roman" w:cs="Times New Roman"/>
          <w:sz w:val="24"/>
          <w:szCs w:val="24"/>
        </w:rPr>
      </w:pPr>
    </w:p>
    <w:p w14:paraId="20A0E1F4" w14:textId="77777777" w:rsidR="0089415A" w:rsidRPr="009A7579" w:rsidRDefault="0089415A" w:rsidP="0089415A">
      <w:pPr>
        <w:spacing w:after="0" w:line="240" w:lineRule="auto"/>
        <w:rPr>
          <w:rFonts w:ascii="Times New Roman" w:hAnsi="Times New Roman" w:cs="Times New Roman"/>
          <w:b/>
          <w:bCs/>
          <w:sz w:val="24"/>
          <w:szCs w:val="24"/>
        </w:rPr>
      </w:pPr>
      <w:r w:rsidRPr="009A7579">
        <w:rPr>
          <w:rFonts w:ascii="Times New Roman" w:hAnsi="Times New Roman" w:cs="Times New Roman"/>
          <w:sz w:val="24"/>
          <w:szCs w:val="24"/>
        </w:rPr>
        <w:t>John Chevedden</w:t>
      </w:r>
    </w:p>
    <w:p w14:paraId="57091E0A" w14:textId="77777777" w:rsidR="0089415A" w:rsidRPr="009A7579" w:rsidRDefault="0089415A" w:rsidP="0089415A">
      <w:pPr>
        <w:spacing w:after="0" w:line="240" w:lineRule="auto"/>
        <w:rPr>
          <w:rFonts w:ascii="Times New Roman" w:eastAsia="Times New Roman" w:hAnsi="Times New Roman" w:cs="Times New Roman"/>
          <w:b/>
          <w:bCs/>
          <w:sz w:val="24"/>
          <w:szCs w:val="24"/>
        </w:rPr>
      </w:pPr>
    </w:p>
    <w:sectPr w:rsidR="0089415A" w:rsidRPr="009A7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365A" w14:textId="77777777" w:rsidR="00FE399D" w:rsidRDefault="00FE399D" w:rsidP="006B3EDD">
      <w:pPr>
        <w:spacing w:after="0" w:line="240" w:lineRule="auto"/>
      </w:pPr>
      <w:r>
        <w:separator/>
      </w:r>
    </w:p>
  </w:endnote>
  <w:endnote w:type="continuationSeparator" w:id="0">
    <w:p w14:paraId="3101C161" w14:textId="77777777" w:rsidR="00FE399D" w:rsidRDefault="00FE399D" w:rsidP="006B3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E6D8" w14:textId="77777777" w:rsidR="00FE399D" w:rsidRDefault="00FE399D" w:rsidP="006B3EDD">
      <w:pPr>
        <w:spacing w:after="0" w:line="240" w:lineRule="auto"/>
      </w:pPr>
      <w:r>
        <w:separator/>
      </w:r>
    </w:p>
  </w:footnote>
  <w:footnote w:type="continuationSeparator" w:id="0">
    <w:p w14:paraId="1290227A" w14:textId="77777777" w:rsidR="00FE399D" w:rsidRDefault="00FE399D" w:rsidP="006B3EDD">
      <w:pPr>
        <w:spacing w:after="0" w:line="240" w:lineRule="auto"/>
      </w:pPr>
      <w:r>
        <w:continuationSeparator/>
      </w:r>
    </w:p>
  </w:footnote>
  <w:footnote w:id="1">
    <w:p w14:paraId="527B6611" w14:textId="77777777" w:rsidR="00BC5E79" w:rsidRPr="0084608D" w:rsidRDefault="00BC5E79" w:rsidP="00BC5E79">
      <w:pPr>
        <w:pStyle w:val="FootnoteText"/>
      </w:pPr>
      <w:r w:rsidRPr="0084608D">
        <w:rPr>
          <w:rStyle w:val="FootnoteReference"/>
        </w:rPr>
        <w:footnoteRef/>
      </w:r>
      <w:r w:rsidRPr="0084608D">
        <w:t xml:space="preserve"> </w:t>
      </w:r>
      <w:r w:rsidRPr="0084608D">
        <w:rPr>
          <w:color w:val="000000" w:themeColor="text1"/>
        </w:rPr>
        <w:t>“</w:t>
      </w:r>
      <w:r w:rsidRPr="00237096">
        <w:rPr>
          <w:color w:val="000000" w:themeColor="text1"/>
        </w:rPr>
        <w:t>New SEC Rules Undermine Lobbying Disclosure Proposals</w:t>
      </w:r>
      <w:r w:rsidRPr="0084608D">
        <w:rPr>
          <w:color w:val="000000" w:themeColor="text1"/>
        </w:rPr>
        <w:t xml:space="preserve">” </w:t>
      </w:r>
      <w:r w:rsidRPr="0084608D">
        <w:rPr>
          <w:color w:val="000000" w:themeColor="text1"/>
          <w:u w:val="single"/>
        </w:rPr>
        <w:t>As You Sow</w:t>
      </w:r>
      <w:r w:rsidRPr="0084608D">
        <w:rPr>
          <w:color w:val="000000" w:themeColor="text1"/>
        </w:rPr>
        <w:t xml:space="preserve">, </w:t>
      </w:r>
      <w:r>
        <w:rPr>
          <w:color w:val="000000" w:themeColor="text1"/>
        </w:rPr>
        <w:t>April 2, 2025</w:t>
      </w:r>
      <w:r w:rsidRPr="0084608D">
        <w:rPr>
          <w:color w:val="000000" w:themeColor="text1"/>
        </w:rPr>
        <w:t>, at:</w:t>
      </w:r>
      <w:r w:rsidRPr="003E649C">
        <w:t xml:space="preserve"> </w:t>
      </w:r>
      <w:r w:rsidRPr="00FB7042">
        <w:rPr>
          <w:color w:val="000000" w:themeColor="text1"/>
        </w:rPr>
        <w:t>https://www.proxypreview.org/all-contributor-articles/new-sec-rules-undermine-lobbying-disclosure-proposals</w:t>
      </w:r>
      <w:r>
        <w:rPr>
          <w:color w:val="000000" w:themeColor="text1"/>
        </w:rPr>
        <w:t xml:space="preserve">; </w:t>
      </w:r>
      <w:r>
        <w:t>“</w:t>
      </w:r>
      <w:r w:rsidRPr="0056162A">
        <w:t>Lobbying Shareholder Proposals Proliferate, Suggesting Trust Gap,</w:t>
      </w:r>
      <w:r>
        <w:t>”</w:t>
      </w:r>
      <w:r w:rsidRPr="0056162A">
        <w:t xml:space="preserve"> </w:t>
      </w:r>
      <w:r w:rsidRPr="004D4852">
        <w:rPr>
          <w:u w:val="single"/>
        </w:rPr>
        <w:t>The Deal</w:t>
      </w:r>
      <w:r w:rsidRPr="0056162A">
        <w:t xml:space="preserve">, April 12, 2024, at: </w:t>
      </w:r>
      <w:r w:rsidRPr="00FB7042">
        <w:t>https://corporatereformcoalition.org/lobbying-shareholder-proposals-proliferate-suggesting-trust-gap</w:t>
      </w:r>
      <w:r w:rsidRPr="0084608D">
        <w:rPr>
          <w:color w:val="000000" w:themeColor="text1"/>
        </w:rPr>
        <w:t>.</w:t>
      </w:r>
      <w:r>
        <w:rPr>
          <w:color w:val="000000" w:themeColor="text1"/>
        </w:rPr>
        <w:t xml:space="preserve"> </w:t>
      </w:r>
    </w:p>
  </w:footnote>
  <w:footnote w:id="2">
    <w:p w14:paraId="2CFBF077" w14:textId="77777777" w:rsidR="00263E7B" w:rsidRPr="00AF5A23" w:rsidRDefault="00263E7B" w:rsidP="00263E7B">
      <w:pPr>
        <w:pStyle w:val="FootnoteText"/>
      </w:pPr>
      <w:r w:rsidRPr="00AF5A23">
        <w:rPr>
          <w:rStyle w:val="FootnoteReference"/>
        </w:rPr>
        <w:footnoteRef/>
      </w:r>
      <w:r w:rsidRPr="00AF5A23">
        <w:t xml:space="preserve"> “$11.9 trillion in S&amp;P 500 firms attributed to reputation,”</w:t>
      </w:r>
      <w:r>
        <w:t xml:space="preserve"> </w:t>
      </w:r>
      <w:r>
        <w:rPr>
          <w:u w:val="single"/>
        </w:rPr>
        <w:t>Echo Research</w:t>
      </w:r>
      <w:r>
        <w:t xml:space="preserve">, Oct. 15, 2024, at: </w:t>
      </w:r>
      <w:r w:rsidRPr="00EE24EE">
        <w:t>https://www.echoresearch.com/news-events/119-trillion-in-sp-500-firms-attributed-to-reputation/</w:t>
      </w:r>
      <w:r>
        <w:t xml:space="preserve">. </w:t>
      </w:r>
    </w:p>
  </w:footnote>
  <w:footnote w:id="3">
    <w:p w14:paraId="5844D434" w14:textId="77777777" w:rsidR="00263E7B" w:rsidRPr="008B426D" w:rsidRDefault="00263E7B" w:rsidP="00263E7B">
      <w:pPr>
        <w:pStyle w:val="FootnoteText"/>
      </w:pPr>
      <w:r w:rsidRPr="008B426D">
        <w:rPr>
          <w:rStyle w:val="FootnoteReference"/>
        </w:rPr>
        <w:footnoteRef/>
      </w:r>
      <w:r w:rsidRPr="008B426D">
        <w:t xml:space="preserve"> “Unlocking the Value of Reputation,” </w:t>
      </w:r>
      <w:r w:rsidRPr="008B426D">
        <w:rPr>
          <w:u w:val="single"/>
        </w:rPr>
        <w:t>Ipsos</w:t>
      </w:r>
      <w:r w:rsidRPr="008B426D">
        <w:t>, May 2018, at: https://www.ipsos.com/sites/default/files/ct/publication/documents/2018-05/unlocking_value_of_reputation-may_2018.pdf</w:t>
      </w:r>
    </w:p>
  </w:footnote>
  <w:footnote w:id="4">
    <w:p w14:paraId="5A78EECB" w14:textId="0EB148C4" w:rsidR="000E6207" w:rsidRPr="008B426D" w:rsidRDefault="000E6207" w:rsidP="000E6207">
      <w:pPr>
        <w:pStyle w:val="FootnoteText"/>
      </w:pPr>
      <w:r w:rsidRPr="008B426D">
        <w:rPr>
          <w:rStyle w:val="FootnoteReference"/>
        </w:rPr>
        <w:footnoteRef/>
      </w:r>
      <w:r w:rsidRPr="008B426D">
        <w:t xml:space="preserve"> “2014 Global Survey on Reputation Risk,” </w:t>
      </w:r>
      <w:r w:rsidRPr="008B426D">
        <w:rPr>
          <w:u w:val="single"/>
        </w:rPr>
        <w:t>Deloitte</w:t>
      </w:r>
      <w:r w:rsidRPr="008B426D">
        <w:t xml:space="preserve">, p. 4, at: https://www2.deloitte.com/content/dam/Deloitte/global/Documents/Governance-Risk-Compliance/gx_grc_Reputation@Risk%20survey%20report_FINAL.pdf </w:t>
      </w:r>
    </w:p>
  </w:footnote>
  <w:footnote w:id="5">
    <w:p w14:paraId="6729C0B2" w14:textId="5014937A" w:rsidR="00C60258" w:rsidRDefault="00C60258">
      <w:pPr>
        <w:pStyle w:val="FootnoteText"/>
      </w:pPr>
      <w:r>
        <w:rPr>
          <w:rStyle w:val="FootnoteReference"/>
        </w:rPr>
        <w:footnoteRef/>
      </w:r>
      <w:r>
        <w:t xml:space="preserve"> </w:t>
      </w:r>
      <w:r w:rsidR="00CC295F">
        <w:t>“</w:t>
      </w:r>
      <w:r w:rsidRPr="00C60258">
        <w:t>RTX (ex-Raytheon) busted for ‘extraordinary’ corruption,</w:t>
      </w:r>
      <w:r w:rsidR="00CC295F">
        <w:t>”</w:t>
      </w:r>
      <w:r w:rsidRPr="00C60258">
        <w:t xml:space="preserve"> </w:t>
      </w:r>
      <w:r w:rsidRPr="00CC295F">
        <w:rPr>
          <w:u w:val="single"/>
        </w:rPr>
        <w:t>Responsible Statecraft</w:t>
      </w:r>
      <w:r w:rsidRPr="00C60258">
        <w:t xml:space="preserve">, Oct. 21, 2024, at: </w:t>
      </w:r>
      <w:r w:rsidR="00CC295F" w:rsidRPr="00CC295F">
        <w:t>https://responsiblestatecraft.org/raytheon-corruption/</w:t>
      </w:r>
      <w:r w:rsidRPr="00C60258">
        <w:t>.</w:t>
      </w:r>
      <w:r w:rsidR="00CC295F">
        <w:t xml:space="preserve"> </w:t>
      </w:r>
    </w:p>
  </w:footnote>
  <w:footnote w:id="6">
    <w:p w14:paraId="6E753710" w14:textId="51E0BE39" w:rsidR="00CC1B16" w:rsidRDefault="00CC1B16">
      <w:pPr>
        <w:pStyle w:val="FootnoteText"/>
      </w:pPr>
      <w:r>
        <w:rPr>
          <w:rStyle w:val="FootnoteReference"/>
        </w:rPr>
        <w:footnoteRef/>
      </w:r>
      <w:r>
        <w:t xml:space="preserve"> “</w:t>
      </w:r>
      <w:r w:rsidRPr="00CC1B16">
        <w:t>Tax credit sought by defense industry stuck in Senate limbo,</w:t>
      </w:r>
      <w:r>
        <w:t>”</w:t>
      </w:r>
      <w:r w:rsidRPr="00CC1B16">
        <w:t xml:space="preserve"> </w:t>
      </w:r>
      <w:r w:rsidRPr="00CC1B16">
        <w:rPr>
          <w:u w:val="single"/>
        </w:rPr>
        <w:t>Defense News</w:t>
      </w:r>
      <w:r w:rsidRPr="00CC1B16">
        <w:t>, March 4, 2024, at:</w:t>
      </w:r>
      <w:r>
        <w:t xml:space="preserve"> </w:t>
      </w:r>
      <w:r w:rsidR="00DA50C0" w:rsidRPr="00DA50C0">
        <w:t>https://www.defensenews.com/congress/2024/03/04/tax-credit-sought-by-defense-industry-stuck-in-senate-limbo/</w:t>
      </w:r>
      <w:r w:rsidR="00DA50C0">
        <w:t xml:space="preserve">. </w:t>
      </w:r>
    </w:p>
  </w:footnote>
  <w:footnote w:id="7">
    <w:p w14:paraId="0F8F8C1D" w14:textId="77777777" w:rsidR="00355A59" w:rsidRPr="00974AD7" w:rsidRDefault="00355A59" w:rsidP="00355A59">
      <w:pPr>
        <w:pStyle w:val="FootnoteText"/>
      </w:pPr>
      <w:r w:rsidRPr="00974AD7">
        <w:rPr>
          <w:rStyle w:val="FootnoteReference"/>
        </w:rPr>
        <w:footnoteRef/>
      </w:r>
      <w:r w:rsidRPr="00974AD7">
        <w:t xml:space="preserve"> “The Corporate State Lobbying Black Hole,” </w:t>
      </w:r>
      <w:r w:rsidRPr="00974AD7">
        <w:rPr>
          <w:u w:val="single"/>
        </w:rPr>
        <w:t>Sustainable Investments Institute (Si2)</w:t>
      </w:r>
      <w:r w:rsidRPr="00974AD7">
        <w:t xml:space="preserve">, Dec. 2023, at: https://www.citizen.org/wp-content/uploads/Corporate_State_Lobbying_Black_Hole_Report_2023.pdf. </w:t>
      </w:r>
    </w:p>
  </w:footnote>
  <w:footnote w:id="8">
    <w:p w14:paraId="10FEE58B" w14:textId="05FC6531" w:rsidR="00355A59" w:rsidRPr="00974AD7" w:rsidRDefault="00355A59" w:rsidP="00355A59">
      <w:pPr>
        <w:pStyle w:val="FootnoteText"/>
      </w:pPr>
      <w:r w:rsidRPr="00974AD7">
        <w:rPr>
          <w:rStyle w:val="FootnoteReference"/>
        </w:rPr>
        <w:footnoteRef/>
      </w:r>
      <w:r w:rsidRPr="00974AD7">
        <w:t xml:space="preserve"> “Wal-Mart Improves Lobbying Disclosure after </w:t>
      </w:r>
      <w:r w:rsidR="00ED1A2D">
        <w:t>Shareowner</w:t>
      </w:r>
      <w:r w:rsidRPr="00974AD7">
        <w:t xml:space="preserve"> Push,” </w:t>
      </w:r>
      <w:r w:rsidRPr="00974AD7">
        <w:rPr>
          <w:u w:val="single"/>
        </w:rPr>
        <w:t>Reuters</w:t>
      </w:r>
      <w:r w:rsidRPr="00974AD7">
        <w:t>, May 13, 2015, https://www.reuters.com/article/us-wal-mart-stores-disclosure-lobbying-e/exclusive-wal-mart-improves-lobbying-disclosure-after-</w:t>
      </w:r>
      <w:r w:rsidR="00ED1A2D">
        <w:t>shareowner</w:t>
      </w:r>
      <w:r w:rsidRPr="00974AD7">
        <w:t>-push-idUSKBN0NY0AH20150513.</w:t>
      </w:r>
    </w:p>
  </w:footnote>
  <w:footnote w:id="9">
    <w:p w14:paraId="7CF4FBFA" w14:textId="0F579E5B" w:rsidR="009B3A7C" w:rsidRPr="003703BB" w:rsidRDefault="009B3A7C" w:rsidP="009B3A7C">
      <w:pPr>
        <w:pStyle w:val="FootnoteText"/>
        <w:rPr>
          <w:sz w:val="18"/>
          <w:szCs w:val="18"/>
        </w:rPr>
      </w:pPr>
      <w:r w:rsidRPr="003703BB">
        <w:rPr>
          <w:rStyle w:val="FootnoteReference"/>
          <w:sz w:val="18"/>
          <w:szCs w:val="18"/>
        </w:rPr>
        <w:footnoteRef/>
      </w:r>
      <w:r>
        <w:rPr>
          <w:sz w:val="18"/>
          <w:szCs w:val="18"/>
        </w:rPr>
        <w:t xml:space="preserve"> </w:t>
      </w:r>
      <w:r w:rsidR="00395D42" w:rsidRPr="00395D42">
        <w:rPr>
          <w:sz w:val="18"/>
          <w:szCs w:val="18"/>
        </w:rPr>
        <w:t>https://www.lobbyfacts.eu/datacard/rtx-corporation?rid=87564644126-75</w:t>
      </w:r>
      <w:r w:rsidR="00395D42">
        <w:rPr>
          <w:sz w:val="18"/>
          <w:szCs w:val="18"/>
        </w:rPr>
        <w:t xml:space="preserve">. </w:t>
      </w:r>
    </w:p>
  </w:footnote>
  <w:footnote w:id="10">
    <w:p w14:paraId="5DA182A4" w14:textId="29631E48" w:rsidR="00DC444F" w:rsidRDefault="00DC444F">
      <w:pPr>
        <w:pStyle w:val="FootnoteText"/>
      </w:pPr>
      <w:r>
        <w:rPr>
          <w:rStyle w:val="FootnoteReference"/>
        </w:rPr>
        <w:footnoteRef/>
      </w:r>
      <w:r>
        <w:t xml:space="preserve"> </w:t>
      </w:r>
      <w:r w:rsidR="00112942" w:rsidRPr="00112942">
        <w:t>https://www.amchameu.eu/about-us/members</w:t>
      </w:r>
      <w:r w:rsidR="00112942">
        <w:t xml:space="preserve">. </w:t>
      </w:r>
    </w:p>
  </w:footnote>
  <w:footnote w:id="11">
    <w:p w14:paraId="019C1835" w14:textId="68DFC486" w:rsidR="003000CD" w:rsidRPr="00974AD7" w:rsidRDefault="003000CD" w:rsidP="003000CD">
      <w:pPr>
        <w:pStyle w:val="FootnoteText"/>
      </w:pPr>
      <w:r w:rsidRPr="00974AD7">
        <w:rPr>
          <w:rStyle w:val="FootnoteReference"/>
        </w:rPr>
        <w:footnoteRef/>
      </w:r>
      <w:r w:rsidRPr="00974AD7">
        <w:t xml:space="preserve"> “Business Group Spending on Lobbying in Washington at Least Double What’s Publicly Reported,” </w:t>
      </w:r>
      <w:r w:rsidRPr="00974AD7">
        <w:rPr>
          <w:u w:val="single"/>
        </w:rPr>
        <w:t>The Intercep</w:t>
      </w:r>
      <w:r w:rsidRPr="00974AD7">
        <w:t>t, Aug. 6, 2019, at: https://theintercept.com/2019/08/06/business-group-spending-on-lobbying-in-washington-is-at-least-double-whats-publicly-reported/.</w:t>
      </w:r>
    </w:p>
  </w:footnote>
  <w:footnote w:id="12">
    <w:p w14:paraId="5C594CD8" w14:textId="26C39573" w:rsidR="003000CD" w:rsidRPr="00974AD7" w:rsidRDefault="003000CD" w:rsidP="00333CDB">
      <w:pPr>
        <w:pStyle w:val="FootnoteText"/>
      </w:pPr>
      <w:r w:rsidRPr="00974AD7">
        <w:rPr>
          <w:rStyle w:val="FootnoteReference"/>
          <w:rFonts w:eastAsia="Palatino Linotype"/>
        </w:rPr>
        <w:footnoteRef/>
      </w:r>
      <w:r w:rsidRPr="00974AD7">
        <w:rPr>
          <w:rFonts w:eastAsia="Palatino Linotype"/>
        </w:rPr>
        <w:t xml:space="preserve"> https://www.opensecrets.org/federal-lobbying/top-spenders?cycle=a. </w:t>
      </w:r>
    </w:p>
  </w:footnote>
  <w:footnote w:id="13">
    <w:p w14:paraId="0E9A670B" w14:textId="35301EEC" w:rsidR="004C5E2D" w:rsidRDefault="004C5E2D" w:rsidP="00333CDB">
      <w:pPr>
        <w:spacing w:after="0" w:line="240" w:lineRule="auto"/>
      </w:pPr>
      <w:r w:rsidRPr="00331D66">
        <w:rPr>
          <w:rStyle w:val="FootnoteReference"/>
          <w:rFonts w:ascii="Times New Roman" w:hAnsi="Times New Roman"/>
          <w:sz w:val="20"/>
          <w:szCs w:val="20"/>
        </w:rPr>
        <w:footnoteRef/>
      </w:r>
      <w:r w:rsidRPr="00331D66">
        <w:rPr>
          <w:rFonts w:ascii="Times New Roman" w:hAnsi="Times New Roman" w:cs="Times New Roman"/>
          <w:sz w:val="20"/>
          <w:szCs w:val="20"/>
        </w:rPr>
        <w:t xml:space="preserve"> </w:t>
      </w:r>
      <w:r w:rsidR="000630D7" w:rsidRPr="00331D66">
        <w:rPr>
          <w:rFonts w:ascii="Times New Roman" w:hAnsi="Times New Roman" w:cs="Times New Roman"/>
          <w:sz w:val="20"/>
          <w:szCs w:val="20"/>
        </w:rPr>
        <w:t>American Benefits Council: https://www.americanbenefitscouncil.org/about/member-companies/</w:t>
      </w:r>
      <w:r w:rsidR="000630D7" w:rsidRPr="00331D66">
        <w:rPr>
          <w:rFonts w:ascii="Times New Roman" w:hAnsi="Times New Roman" w:cs="Times New Roman"/>
          <w:sz w:val="20"/>
          <w:szCs w:val="20"/>
        </w:rPr>
        <w:t xml:space="preserve">; </w:t>
      </w:r>
      <w:r w:rsidR="00801756" w:rsidRPr="00331D66">
        <w:rPr>
          <w:rFonts w:ascii="Times New Roman" w:hAnsi="Times New Roman" w:cs="Times New Roman"/>
          <w:sz w:val="20"/>
          <w:szCs w:val="20"/>
        </w:rPr>
        <w:t>Associated Industries of Massachusetts: https://aimnet.org/about-us/aim-board-of-directors/</w:t>
      </w:r>
      <w:r w:rsidR="00801756" w:rsidRPr="00331D66">
        <w:rPr>
          <w:rFonts w:ascii="Times New Roman" w:hAnsi="Times New Roman" w:cs="Times New Roman"/>
          <w:sz w:val="20"/>
          <w:szCs w:val="20"/>
        </w:rPr>
        <w:t xml:space="preserve">; </w:t>
      </w:r>
      <w:r w:rsidR="00FE19F6" w:rsidRPr="00331D66">
        <w:rPr>
          <w:rFonts w:ascii="Times New Roman" w:hAnsi="Times New Roman" w:cs="Times New Roman"/>
          <w:sz w:val="20"/>
          <w:szCs w:val="20"/>
        </w:rPr>
        <w:t>Chemical Users Coalition: http://www.chemicaluserscoalition.org/members</w:t>
      </w:r>
      <w:r w:rsidR="00FE19F6" w:rsidRPr="00331D66">
        <w:rPr>
          <w:rFonts w:ascii="Times New Roman" w:hAnsi="Times New Roman" w:cs="Times New Roman"/>
          <w:sz w:val="20"/>
          <w:szCs w:val="20"/>
        </w:rPr>
        <w:t xml:space="preserve">; </w:t>
      </w:r>
      <w:r w:rsidR="005A528D" w:rsidRPr="00331D66">
        <w:rPr>
          <w:rFonts w:ascii="Times New Roman" w:hAnsi="Times New Roman" w:cs="Times New Roman"/>
          <w:sz w:val="20"/>
          <w:szCs w:val="20"/>
        </w:rPr>
        <w:t>Internet Security Alliance: https://isalliance.org/</w:t>
      </w:r>
      <w:r w:rsidR="005A528D" w:rsidRPr="00331D66">
        <w:rPr>
          <w:rFonts w:ascii="Times New Roman" w:hAnsi="Times New Roman" w:cs="Times New Roman"/>
          <w:sz w:val="20"/>
          <w:szCs w:val="20"/>
        </w:rPr>
        <w:t xml:space="preserve">; </w:t>
      </w:r>
      <w:r w:rsidR="00331D66" w:rsidRPr="00331D66">
        <w:rPr>
          <w:rFonts w:ascii="Times New Roman" w:hAnsi="Times New Roman" w:cs="Times New Roman"/>
          <w:sz w:val="20"/>
          <w:szCs w:val="20"/>
        </w:rPr>
        <w:t>Massachusetts Business Roundtable: https://www.maroundtable.com/members/</w:t>
      </w:r>
      <w:r w:rsidR="00331D66" w:rsidRPr="00331D66">
        <w:rPr>
          <w:rFonts w:ascii="Times New Roman" w:hAnsi="Times New Roman" w:cs="Times New Roman"/>
          <w:sz w:val="20"/>
          <w:szCs w:val="20"/>
        </w:rPr>
        <w:t xml:space="preserve">; </w:t>
      </w:r>
      <w:r w:rsidR="00D97AA1" w:rsidRPr="00331D66">
        <w:rPr>
          <w:rFonts w:ascii="Times New Roman" w:hAnsi="Times New Roman" w:cs="Times New Roman"/>
          <w:sz w:val="20"/>
          <w:szCs w:val="20"/>
        </w:rPr>
        <w:t>Massachusetts High Technology Council: https://www.mhtc.org/member-directory/</w:t>
      </w:r>
      <w:r w:rsidR="00D97AA1" w:rsidRPr="00331D66">
        <w:rPr>
          <w:rFonts w:ascii="Times New Roman" w:hAnsi="Times New Roman" w:cs="Times New Roman"/>
          <w:sz w:val="20"/>
          <w:szCs w:val="20"/>
        </w:rPr>
        <w:t xml:space="preserve">; </w:t>
      </w:r>
      <w:r w:rsidR="005347AF" w:rsidRPr="00331D66">
        <w:rPr>
          <w:rFonts w:ascii="Times New Roman" w:hAnsi="Times New Roman" w:cs="Times New Roman"/>
          <w:sz w:val="20"/>
          <w:szCs w:val="20"/>
        </w:rPr>
        <w:t>The New England Council</w:t>
      </w:r>
      <w:r w:rsidR="005347AF">
        <w:t xml:space="preserve">: </w:t>
      </w:r>
      <w:r w:rsidR="005347AF" w:rsidRPr="00331D66">
        <w:rPr>
          <w:rFonts w:ascii="Times New Roman" w:hAnsi="Times New Roman" w:cs="Times New Roman"/>
          <w:sz w:val="20"/>
          <w:szCs w:val="20"/>
        </w:rPr>
        <w:t>https://www.newenglandcouncil.com/about/board-of-directors/</w:t>
      </w:r>
      <w:r w:rsidR="005347AF" w:rsidRPr="00331D66">
        <w:rPr>
          <w:rFonts w:ascii="Times New Roman" w:hAnsi="Times New Roman" w:cs="Times New Roman"/>
          <w:sz w:val="20"/>
          <w:szCs w:val="20"/>
        </w:rPr>
        <w:t xml:space="preserve">; </w:t>
      </w:r>
      <w:r w:rsidR="000553CF" w:rsidRPr="00331D66">
        <w:rPr>
          <w:rFonts w:ascii="Times New Roman" w:hAnsi="Times New Roman" w:cs="Times New Roman"/>
          <w:sz w:val="20"/>
          <w:szCs w:val="20"/>
        </w:rPr>
        <w:t>Rhode Island Manufacturers Association: https://rimanufacturers.com/who-we-are/#board-of-directors</w:t>
      </w:r>
      <w:r w:rsidR="000553CF" w:rsidRPr="00331D66">
        <w:rPr>
          <w:rFonts w:ascii="Times New Roman" w:hAnsi="Times New Roman" w:cs="Times New Roman"/>
          <w:sz w:val="20"/>
          <w:szCs w:val="20"/>
        </w:rPr>
        <w:t>.</w:t>
      </w:r>
      <w:r w:rsidR="000553CF">
        <w:t xml:space="preserve"> </w:t>
      </w:r>
    </w:p>
  </w:footnote>
  <w:footnote w:id="14">
    <w:p w14:paraId="60FBD036" w14:textId="77777777" w:rsidR="006A48CF" w:rsidRDefault="006A48CF" w:rsidP="006A48CF">
      <w:pPr>
        <w:pStyle w:val="FootnoteText"/>
      </w:pPr>
      <w:r>
        <w:rPr>
          <w:rStyle w:val="FootnoteReference"/>
        </w:rPr>
        <w:footnoteRef/>
      </w:r>
      <w:r>
        <w:t xml:space="preserve"> “</w:t>
      </w:r>
      <w:r w:rsidRPr="00935794">
        <w:t>Investors question Business Roundtable’s climate rule battle,</w:t>
      </w:r>
      <w:r>
        <w:t>”</w:t>
      </w:r>
      <w:r w:rsidRPr="00935794">
        <w:t xml:space="preserve"> </w:t>
      </w:r>
      <w:r w:rsidRPr="00935794">
        <w:rPr>
          <w:u w:val="single"/>
        </w:rPr>
        <w:t>E&amp;E News</w:t>
      </w:r>
      <w:r w:rsidRPr="00935794">
        <w:t>, Aug. 22, 2024, at: https://www.eenews.net/articles/investors-question-business-roundtables-climate-rule-battle/</w:t>
      </w:r>
      <w:r>
        <w:t xml:space="preserve">. </w:t>
      </w:r>
    </w:p>
  </w:footnote>
  <w:footnote w:id="15">
    <w:p w14:paraId="376F8368" w14:textId="77777777" w:rsidR="006A48CF" w:rsidRPr="0084608D" w:rsidRDefault="006A48CF" w:rsidP="006A48CF">
      <w:pPr>
        <w:pStyle w:val="FootnoteText"/>
      </w:pPr>
      <w:r w:rsidRPr="0084608D">
        <w:rPr>
          <w:rStyle w:val="FootnoteReference"/>
        </w:rPr>
        <w:footnoteRef/>
      </w:r>
      <w:r w:rsidRPr="0084608D">
        <w:t xml:space="preserve"> </w:t>
      </w:r>
      <w:r w:rsidRPr="0084608D">
        <w:rPr>
          <w:color w:val="000000" w:themeColor="text1"/>
        </w:rPr>
        <w:t xml:space="preserve">“Climate group pushes Big Tech to exit nation’s largest business lobby,” </w:t>
      </w:r>
      <w:r w:rsidRPr="0084608D">
        <w:rPr>
          <w:color w:val="000000" w:themeColor="text1"/>
          <w:u w:val="single"/>
        </w:rPr>
        <w:t>Washington Post</w:t>
      </w:r>
      <w:r w:rsidRPr="0084608D">
        <w:rPr>
          <w:color w:val="000000" w:themeColor="text1"/>
        </w:rPr>
        <w:t>, Aug. 2, 2023, at: https://www.washingtonpost.com/politics/2023/08/02/climate-group-pushes-big-tech-exit-nations-largest-business-lobby/.</w:t>
      </w:r>
    </w:p>
  </w:footnote>
  <w:footnote w:id="16">
    <w:p w14:paraId="16ACA67F" w14:textId="0A22AD49" w:rsidR="00897CE1" w:rsidRDefault="00897CE1" w:rsidP="00897CE1">
      <w:pPr>
        <w:pStyle w:val="FootnoteText"/>
      </w:pPr>
      <w:r>
        <w:rPr>
          <w:rStyle w:val="FootnoteReference"/>
        </w:rPr>
        <w:footnoteRef/>
      </w:r>
      <w:r>
        <w:t xml:space="preserve"> </w:t>
      </w:r>
      <w:r w:rsidR="00D1739D">
        <w:t>“</w:t>
      </w:r>
      <w:r w:rsidR="00D1739D" w:rsidRPr="00D1739D">
        <w:t>Warren slams defense contractors over tax lobbying,</w:t>
      </w:r>
      <w:r w:rsidR="00D1739D">
        <w:t>”</w:t>
      </w:r>
      <w:r w:rsidR="00D1739D" w:rsidRPr="00D1739D">
        <w:t xml:space="preserve"> </w:t>
      </w:r>
      <w:r w:rsidR="00D1739D" w:rsidRPr="00D1739D">
        <w:rPr>
          <w:u w:val="single"/>
        </w:rPr>
        <w:t>Defense News</w:t>
      </w:r>
      <w:r w:rsidR="00D1739D" w:rsidRPr="00D1739D">
        <w:t xml:space="preserve">, July 26, 2023, at: </w:t>
      </w:r>
      <w:r w:rsidRPr="00D1739D">
        <w:t>https://www.defensenews.com/congress</w:t>
      </w:r>
      <w:r w:rsidRPr="00D1739D">
        <w:t>/</w:t>
      </w:r>
      <w:r w:rsidRPr="00D1739D">
        <w:t>2023/07/26/warren-slams-defense-contractors-over-tax-lobbying/</w:t>
      </w:r>
      <w:r>
        <w:t xml:space="preserve">. </w:t>
      </w:r>
    </w:p>
  </w:footnote>
  <w:footnote w:id="17">
    <w:p w14:paraId="2DFADBC5" w14:textId="6E4D72D5" w:rsidR="009728AA" w:rsidRDefault="009728AA" w:rsidP="009728AA">
      <w:pPr>
        <w:pStyle w:val="FootnoteText"/>
      </w:pPr>
      <w:r>
        <w:rPr>
          <w:rStyle w:val="FootnoteReference"/>
        </w:rPr>
        <w:footnoteRef/>
      </w:r>
      <w:r>
        <w:t xml:space="preserve"> </w:t>
      </w:r>
      <w:r w:rsidR="007216E7">
        <w:t>“</w:t>
      </w:r>
      <w:r w:rsidR="00973EF7" w:rsidRPr="00973EF7">
        <w:t>10 Companies With Lower Tax Rates Than Most Americans,</w:t>
      </w:r>
      <w:r w:rsidR="007216E7">
        <w:t>”</w:t>
      </w:r>
      <w:r w:rsidR="00973EF7" w:rsidRPr="00973EF7">
        <w:t xml:space="preserve"> </w:t>
      </w:r>
      <w:r w:rsidR="00973EF7" w:rsidRPr="007216E7">
        <w:rPr>
          <w:u w:val="single"/>
        </w:rPr>
        <w:t>Kiplinger</w:t>
      </w:r>
      <w:r w:rsidR="00973EF7" w:rsidRPr="00973EF7">
        <w:t>, Nov. 7, 2019, at:</w:t>
      </w:r>
      <w:r w:rsidR="007216E7">
        <w:t xml:space="preserve"> </w:t>
      </w:r>
      <w:r w:rsidR="007216E7" w:rsidRPr="007216E7">
        <w:t>https://www.kiplinger.com/slideshow/investing/t052-s001-10-companies-lower-tax-rates-than-most-americans/index.html</w:t>
      </w:r>
      <w:r>
        <w:t>.</w:t>
      </w:r>
    </w:p>
  </w:footnote>
  <w:footnote w:id="18">
    <w:p w14:paraId="65E3CE9F" w14:textId="2385204E" w:rsidR="00890371" w:rsidRDefault="00890371" w:rsidP="00890371">
      <w:pPr>
        <w:pStyle w:val="FootnoteText"/>
      </w:pPr>
      <w:r>
        <w:rPr>
          <w:rStyle w:val="FootnoteReference"/>
        </w:rPr>
        <w:footnoteRef/>
      </w:r>
      <w:r>
        <w:t xml:space="preserve"> </w:t>
      </w:r>
      <w:r w:rsidR="005323A0">
        <w:t>“</w:t>
      </w:r>
      <w:r w:rsidR="005323A0" w:rsidRPr="005323A0">
        <w:t>US corporations push to roll back Trump-era tax policies they once endorsed,</w:t>
      </w:r>
      <w:r w:rsidR="005323A0">
        <w:t>”</w:t>
      </w:r>
      <w:r w:rsidR="005323A0" w:rsidRPr="005323A0">
        <w:t xml:space="preserve"> </w:t>
      </w:r>
      <w:r w:rsidR="005323A0" w:rsidRPr="005323A0">
        <w:rPr>
          <w:u w:val="single"/>
        </w:rPr>
        <w:t>The Guardian</w:t>
      </w:r>
      <w:r w:rsidR="005323A0" w:rsidRPr="005323A0">
        <w:t>, Jan. 12, 2024, at:</w:t>
      </w:r>
      <w:r w:rsidRPr="005323A0">
        <w:t>https://www.theguardian.com/us-news/2</w:t>
      </w:r>
      <w:r w:rsidRPr="005323A0">
        <w:t>0</w:t>
      </w:r>
      <w:r w:rsidRPr="005323A0">
        <w:t>24/jan/12/corporation-tax-break-lobby</w:t>
      </w:r>
      <w:r>
        <w:t xml:space="preserve">. </w:t>
      </w:r>
    </w:p>
  </w:footnote>
  <w:footnote w:id="19">
    <w:p w14:paraId="0BCDF168" w14:textId="691CB4D5" w:rsidR="009728AA" w:rsidRDefault="009728AA" w:rsidP="009728AA">
      <w:pPr>
        <w:pStyle w:val="FootnoteText"/>
      </w:pPr>
      <w:r>
        <w:rPr>
          <w:rStyle w:val="FootnoteReference"/>
        </w:rPr>
        <w:footnoteRef/>
      </w:r>
      <w:r>
        <w:t xml:space="preserve"> </w:t>
      </w:r>
      <w:r w:rsidR="006B7EBB">
        <w:t>“</w:t>
      </w:r>
      <w:r w:rsidR="006B7EBB" w:rsidRPr="006B7EBB">
        <w:t>New Corporate Minimum Tax Ushers In Confusion and a Lobbying Blitz,</w:t>
      </w:r>
      <w:r w:rsidR="006B7EBB">
        <w:t>”</w:t>
      </w:r>
      <w:r w:rsidR="006B7EBB" w:rsidRPr="006B7EBB">
        <w:t xml:space="preserve"> </w:t>
      </w:r>
      <w:r w:rsidR="006B7EBB" w:rsidRPr="006B7EBB">
        <w:rPr>
          <w:u w:val="single"/>
        </w:rPr>
        <w:t>New York Times</w:t>
      </w:r>
      <w:r w:rsidR="006B7EBB" w:rsidRPr="006B7EBB">
        <w:t>, Sept. 7, 2023, at:</w:t>
      </w:r>
      <w:r w:rsidR="006B7EBB">
        <w:t xml:space="preserve"> </w:t>
      </w:r>
      <w:r w:rsidR="006B7EBB" w:rsidRPr="006B7EBB">
        <w:t>https://www.nytimes.com/2023/09/07/business/corporate-minimum-tax-impact.html</w:t>
      </w:r>
      <w:r>
        <w:t xml:space="preserve">. </w:t>
      </w:r>
    </w:p>
  </w:footnote>
  <w:footnote w:id="20">
    <w:p w14:paraId="4429EC55" w14:textId="77777777" w:rsidR="002F6196" w:rsidRPr="0084608D" w:rsidRDefault="002F6196" w:rsidP="002F6196">
      <w:pPr>
        <w:pStyle w:val="FootnoteText"/>
      </w:pPr>
      <w:r w:rsidRPr="0084608D">
        <w:rPr>
          <w:rStyle w:val="FootnoteReference"/>
        </w:rPr>
        <w:footnoteRef/>
      </w:r>
      <w:r w:rsidRPr="0084608D">
        <w:t xml:space="preserve"> “Biden wants rich companies to pay higher taxes. Some are fighting back.” </w:t>
      </w:r>
      <w:r w:rsidRPr="0084608D">
        <w:rPr>
          <w:u w:val="single"/>
        </w:rPr>
        <w:t>Washington Post</w:t>
      </w:r>
      <w:r w:rsidRPr="0084608D">
        <w:t xml:space="preserve">, Aug. 18, 2023, at: https://www.washingtonpost.com/business/2023/08/14/biden-corporate-tax/. </w:t>
      </w:r>
    </w:p>
  </w:footnote>
  <w:footnote w:id="21">
    <w:p w14:paraId="76A32DE2" w14:textId="38A55B03" w:rsidR="007768F4" w:rsidRPr="00023E15" w:rsidRDefault="007768F4">
      <w:pPr>
        <w:pStyle w:val="FootnoteText"/>
      </w:pPr>
      <w:r w:rsidRPr="00023E15">
        <w:rPr>
          <w:rStyle w:val="FootnoteReference"/>
        </w:rPr>
        <w:footnoteRef/>
      </w:r>
      <w:r w:rsidRPr="00023E15">
        <w:t xml:space="preserve"> </w:t>
      </w:r>
      <w:r w:rsidRPr="00023E15">
        <w:rPr>
          <w:color w:val="000000" w:themeColor="text1"/>
        </w:rPr>
        <w:t>Alliance for Competitive Taxation</w:t>
      </w:r>
      <w:r w:rsidR="00BA414B" w:rsidRPr="00023E15">
        <w:rPr>
          <w:color w:val="000000" w:themeColor="text1"/>
        </w:rPr>
        <w:t>:</w:t>
      </w:r>
      <w:r w:rsidR="00C46149" w:rsidRPr="00023E15">
        <w:rPr>
          <w:color w:val="000000" w:themeColor="text1"/>
        </w:rPr>
        <w:t xml:space="preserve"> </w:t>
      </w:r>
      <w:r w:rsidR="00C46149" w:rsidRPr="00023E15">
        <w:t>https://actontaxreform.com/</w:t>
      </w:r>
      <w:r w:rsidR="00C46149" w:rsidRPr="00023E15">
        <w:t>;</w:t>
      </w:r>
      <w:r w:rsidRPr="00023E15">
        <w:rPr>
          <w:color w:val="000000" w:themeColor="text1"/>
        </w:rPr>
        <w:t xml:space="preserve"> Public Affairs Council</w:t>
      </w:r>
      <w:r w:rsidR="00E769F0" w:rsidRPr="00023E15">
        <w:rPr>
          <w:color w:val="000000" w:themeColor="text1"/>
        </w:rPr>
        <w:t xml:space="preserve">: </w:t>
      </w:r>
      <w:r w:rsidR="00E769F0" w:rsidRPr="00023E15">
        <w:t>https://pac.org/membership/directory/alphabetical#r</w:t>
      </w:r>
      <w:r w:rsidR="00E769F0" w:rsidRPr="00023E15">
        <w:t>;</w:t>
      </w:r>
      <w:r w:rsidRPr="00023E15">
        <w:rPr>
          <w:color w:val="000000" w:themeColor="text1"/>
        </w:rPr>
        <w:t xml:space="preserve"> and </w:t>
      </w:r>
      <w:r w:rsidRPr="00023E15">
        <w:t>US Global Leadership Coalition</w:t>
      </w:r>
      <w:r w:rsidR="00E769F0" w:rsidRPr="00023E15">
        <w:t xml:space="preserve">: </w:t>
      </w:r>
      <w:r w:rsidR="00023E15" w:rsidRPr="00023E15">
        <w:t>https://www.usglc.org/about-us/coalition-members/</w:t>
      </w:r>
      <w:r w:rsidR="00023E15" w:rsidRPr="00023E15">
        <w:t>.</w:t>
      </w:r>
    </w:p>
  </w:footnote>
  <w:footnote w:id="22">
    <w:p w14:paraId="1F8C965E" w14:textId="77777777" w:rsidR="0098304F" w:rsidRDefault="0098304F" w:rsidP="0098304F">
      <w:pPr>
        <w:pStyle w:val="FootnoteText"/>
      </w:pPr>
      <w:r>
        <w:rPr>
          <w:rStyle w:val="FootnoteReference"/>
        </w:rPr>
        <w:footnoteRef/>
      </w:r>
      <w:r>
        <w:t xml:space="preserve"> “</w:t>
      </w:r>
      <w:r w:rsidRPr="00E62125">
        <w:t>No tax reform? Don’t tell these guys,</w:t>
      </w:r>
      <w:r>
        <w:t>”</w:t>
      </w:r>
      <w:r w:rsidRPr="00E62125">
        <w:t xml:space="preserve"> </w:t>
      </w:r>
      <w:r w:rsidRPr="00E62125">
        <w:rPr>
          <w:u w:val="single"/>
        </w:rPr>
        <w:t>Politico</w:t>
      </w:r>
      <w:r w:rsidRPr="00E62125">
        <w:t>, Feb. 5, 2014, at:</w:t>
      </w:r>
      <w:r>
        <w:t xml:space="preserve"> </w:t>
      </w:r>
      <w:r w:rsidRPr="00965D1E">
        <w:t>https://www.politico.com/story/2014/02/tax-reform-corporate-groups-10315</w:t>
      </w:r>
      <w:r>
        <w:t xml:space="preserve">. </w:t>
      </w:r>
    </w:p>
  </w:footnote>
  <w:footnote w:id="23">
    <w:p w14:paraId="592B9AD6" w14:textId="1577C9A8" w:rsidR="00023E15" w:rsidRDefault="00023E15">
      <w:pPr>
        <w:pStyle w:val="FootnoteText"/>
      </w:pPr>
      <w:r>
        <w:rPr>
          <w:rStyle w:val="FootnoteReference"/>
        </w:rPr>
        <w:footnoteRef/>
      </w:r>
      <w:r>
        <w:t xml:space="preserve"> </w:t>
      </w:r>
      <w:r w:rsidR="00134FC5" w:rsidRPr="00134FC5">
        <w:t>https://www.opensecrets.org/federal-lobbying/clients/summary?cycle=2023&amp;id=D000082855</w:t>
      </w:r>
      <w:r w:rsidR="00134FC5">
        <w:t xml:space="preserve">. </w:t>
      </w:r>
    </w:p>
  </w:footnote>
  <w:footnote w:id="24">
    <w:p w14:paraId="27FE3283" w14:textId="77777777" w:rsidR="007A4424" w:rsidRPr="0023459F" w:rsidRDefault="007A4424" w:rsidP="007A4424">
      <w:pPr>
        <w:pStyle w:val="FootnoteText"/>
      </w:pPr>
      <w:r w:rsidRPr="0023459F">
        <w:rPr>
          <w:rStyle w:val="FootnoteReference"/>
        </w:rPr>
        <w:footnoteRef/>
      </w:r>
      <w:r w:rsidRPr="0023459F">
        <w:t xml:space="preserve"> “FirstEnergy to pay $230M in agreement in Ohio bribery case,” </w:t>
      </w:r>
      <w:r w:rsidRPr="0023459F">
        <w:rPr>
          <w:u w:val="single"/>
        </w:rPr>
        <w:t>AP News</w:t>
      </w:r>
      <w:r w:rsidRPr="0023459F">
        <w:t xml:space="preserve">, July 23, 2021, at: https://apnews.com/article/business-government-and-politics-ohio-a4dd75020561d8b533fdabcb98a0a350. </w:t>
      </w:r>
    </w:p>
  </w:footnote>
  <w:footnote w:id="25">
    <w:p w14:paraId="5DE48369" w14:textId="77777777" w:rsidR="007A4424" w:rsidRPr="0023459F" w:rsidRDefault="007A4424" w:rsidP="007A4424">
      <w:pPr>
        <w:pStyle w:val="FootnoteText"/>
      </w:pPr>
      <w:r w:rsidRPr="0023459F">
        <w:rPr>
          <w:rStyle w:val="FootnoteReference"/>
        </w:rPr>
        <w:footnoteRef/>
      </w:r>
      <w:r w:rsidRPr="0023459F">
        <w:t xml:space="preserve"> “Ohio Republicans accused of taking $60m in bribes as corruption trial opens,” </w:t>
      </w:r>
      <w:r w:rsidRPr="0023459F">
        <w:rPr>
          <w:u w:val="single"/>
        </w:rPr>
        <w:t>The Guardian</w:t>
      </w:r>
      <w:r w:rsidRPr="0023459F">
        <w:t xml:space="preserve">, Jan. 24, 2023, at: https://www.theguardian.com/us-news/2023/jan/23/ohio-republican-larry-householder-corruption-trial. </w:t>
      </w:r>
    </w:p>
  </w:footnote>
  <w:footnote w:id="26">
    <w:p w14:paraId="1034A9F8" w14:textId="42E3BAE3" w:rsidR="00263886" w:rsidRDefault="00263886">
      <w:pPr>
        <w:pStyle w:val="FootnoteText"/>
      </w:pPr>
      <w:r>
        <w:rPr>
          <w:rStyle w:val="FootnoteReference"/>
        </w:rPr>
        <w:footnoteRef/>
      </w:r>
      <w:r>
        <w:t xml:space="preserve"> </w:t>
      </w:r>
      <w:r w:rsidR="005235E3">
        <w:t>“</w:t>
      </w:r>
      <w:r w:rsidRPr="00263886">
        <w:t>Tax credit sought by defense industry stuck in Senate limbo,</w:t>
      </w:r>
      <w:r w:rsidR="005235E3">
        <w:t>”</w:t>
      </w:r>
      <w:r w:rsidRPr="00263886">
        <w:t xml:space="preserve"> </w:t>
      </w:r>
      <w:r w:rsidR="005235E3" w:rsidRPr="005235E3">
        <w:rPr>
          <w:u w:val="single"/>
        </w:rPr>
        <w:t>Defense News</w:t>
      </w:r>
      <w:r w:rsidRPr="00263886">
        <w:t>, March 4, 2024, at:</w:t>
      </w:r>
      <w:r>
        <w:t xml:space="preserve"> </w:t>
      </w:r>
      <w:r w:rsidR="005235E3" w:rsidRPr="005235E3">
        <w:t>https://www.defensenews.com/congress/2024/03/04/tax-credit-sought-by-defense-industry-stuck-in-senate-limbo/</w:t>
      </w:r>
      <w:r w:rsidR="005235E3">
        <w:t xml:space="preserve">. </w:t>
      </w:r>
    </w:p>
  </w:footnote>
  <w:footnote w:id="27">
    <w:p w14:paraId="3A3FF087" w14:textId="77777777" w:rsidR="00192002" w:rsidRDefault="00192002" w:rsidP="00192002">
      <w:pPr>
        <w:pStyle w:val="FootnoteText"/>
      </w:pPr>
      <w:r>
        <w:rPr>
          <w:rStyle w:val="FootnoteReference"/>
        </w:rPr>
        <w:footnoteRef/>
      </w:r>
      <w:r>
        <w:t xml:space="preserve"> “</w:t>
      </w:r>
      <w:r w:rsidRPr="00B25E75">
        <w:t>Higher Corporate Taxes Would Harm Workers in Every State,</w:t>
      </w:r>
      <w:r>
        <w:t>”</w:t>
      </w:r>
      <w:r w:rsidRPr="00B25E75">
        <w:t xml:space="preserve"> </w:t>
      </w:r>
      <w:r w:rsidRPr="00B25E75">
        <w:rPr>
          <w:u w:val="single"/>
        </w:rPr>
        <w:t>Alliance on Competitive Taxation</w:t>
      </w:r>
      <w:r w:rsidRPr="00B25E75">
        <w:t xml:space="preserve">, Sept. 26, 2024, at: </w:t>
      </w:r>
      <w:r w:rsidRPr="00B25E75">
        <w:rPr>
          <w:rFonts w:eastAsiaTheme="majorEastAsia"/>
        </w:rPr>
        <w:t>https://www.actontaxreform.com/media/mnnpgwib/act-state-wage-effects-of-corporate-tax-increase-2.pdf</w:t>
      </w:r>
      <w:r>
        <w:t xml:space="preserve">. </w:t>
      </w:r>
    </w:p>
  </w:footnote>
  <w:footnote w:id="28">
    <w:p w14:paraId="41FB476E" w14:textId="589D03A2" w:rsidR="00192002" w:rsidRDefault="00192002" w:rsidP="00192002">
      <w:pPr>
        <w:pStyle w:val="FootnoteText"/>
      </w:pPr>
      <w:r>
        <w:rPr>
          <w:rStyle w:val="FootnoteReference"/>
        </w:rPr>
        <w:footnoteRef/>
      </w:r>
      <w:r>
        <w:t xml:space="preserve"> </w:t>
      </w:r>
      <w:r w:rsidR="00CB1520">
        <w:t>“</w:t>
      </w:r>
      <w:r w:rsidR="00EE5506" w:rsidRPr="00EE5506">
        <w:t>Trump’s plan gives corporate tax lobbyists nearly everything they want,</w:t>
      </w:r>
      <w:r w:rsidR="00CB1520">
        <w:t xml:space="preserve">” </w:t>
      </w:r>
      <w:r w:rsidR="00EE5506" w:rsidRPr="00CB1520">
        <w:rPr>
          <w:u w:val="single"/>
        </w:rPr>
        <w:t>Think</w:t>
      </w:r>
      <w:r w:rsidR="00CB1520" w:rsidRPr="00CB1520">
        <w:rPr>
          <w:u w:val="single"/>
        </w:rPr>
        <w:t xml:space="preserve"> </w:t>
      </w:r>
      <w:r w:rsidR="00EE5506" w:rsidRPr="00CB1520">
        <w:rPr>
          <w:u w:val="single"/>
        </w:rPr>
        <w:t>Progress</w:t>
      </w:r>
      <w:r w:rsidR="00EE5506" w:rsidRPr="00EE5506">
        <w:t>, Sept. 28, 2017, at:</w:t>
      </w:r>
      <w:r w:rsidR="00CB1520">
        <w:t xml:space="preserve"> </w:t>
      </w:r>
      <w:r w:rsidRPr="00236035">
        <w:rPr>
          <w:rFonts w:eastAsiaTheme="majorEastAsia"/>
        </w:rPr>
        <w:t>https://archive.thinkprogress.org/tax-reform-lobbying-big-business-wins-1deb8594acf7/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A80"/>
    <w:multiLevelType w:val="hybridMultilevel"/>
    <w:tmpl w:val="B5D0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72D22"/>
    <w:multiLevelType w:val="hybridMultilevel"/>
    <w:tmpl w:val="03E6E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D0AA9"/>
    <w:multiLevelType w:val="hybridMultilevel"/>
    <w:tmpl w:val="2E7826FA"/>
    <w:lvl w:ilvl="0" w:tplc="CA466372">
      <w:start w:val="1"/>
      <w:numFmt w:val="bullet"/>
      <w:lvlText w:val=""/>
      <w:lvlJc w:val="left"/>
      <w:pPr>
        <w:ind w:left="1080" w:hanging="360"/>
      </w:pPr>
      <w:rPr>
        <w:rFonts w:ascii="Symbol" w:hAnsi="Symbol" w:hint="default"/>
      </w:rPr>
    </w:lvl>
    <w:lvl w:ilvl="1" w:tplc="A64A0F5E">
      <w:start w:val="1"/>
      <w:numFmt w:val="bullet"/>
      <w:lvlText w:val="o"/>
      <w:lvlJc w:val="left"/>
      <w:pPr>
        <w:ind w:left="1800" w:hanging="360"/>
      </w:pPr>
      <w:rPr>
        <w:rFonts w:ascii="Courier New" w:hAnsi="Courier New" w:hint="default"/>
      </w:rPr>
    </w:lvl>
    <w:lvl w:ilvl="2" w:tplc="E0825B28">
      <w:start w:val="1"/>
      <w:numFmt w:val="bullet"/>
      <w:lvlText w:val=""/>
      <w:lvlJc w:val="left"/>
      <w:pPr>
        <w:ind w:left="2520" w:hanging="360"/>
      </w:pPr>
      <w:rPr>
        <w:rFonts w:ascii="Wingdings" w:hAnsi="Wingdings" w:hint="default"/>
      </w:rPr>
    </w:lvl>
    <w:lvl w:ilvl="3" w:tplc="A4ACCBFE">
      <w:start w:val="1"/>
      <w:numFmt w:val="bullet"/>
      <w:lvlText w:val=""/>
      <w:lvlJc w:val="left"/>
      <w:pPr>
        <w:ind w:left="3240" w:hanging="360"/>
      </w:pPr>
      <w:rPr>
        <w:rFonts w:ascii="Symbol" w:hAnsi="Symbol" w:hint="default"/>
      </w:rPr>
    </w:lvl>
    <w:lvl w:ilvl="4" w:tplc="608EBB24">
      <w:start w:val="1"/>
      <w:numFmt w:val="bullet"/>
      <w:lvlText w:val="o"/>
      <w:lvlJc w:val="left"/>
      <w:pPr>
        <w:ind w:left="3960" w:hanging="360"/>
      </w:pPr>
      <w:rPr>
        <w:rFonts w:ascii="Courier New" w:hAnsi="Courier New" w:hint="default"/>
      </w:rPr>
    </w:lvl>
    <w:lvl w:ilvl="5" w:tplc="0A3CE92A">
      <w:start w:val="1"/>
      <w:numFmt w:val="bullet"/>
      <w:lvlText w:val=""/>
      <w:lvlJc w:val="left"/>
      <w:pPr>
        <w:ind w:left="4680" w:hanging="360"/>
      </w:pPr>
      <w:rPr>
        <w:rFonts w:ascii="Wingdings" w:hAnsi="Wingdings" w:hint="default"/>
      </w:rPr>
    </w:lvl>
    <w:lvl w:ilvl="6" w:tplc="910058D0">
      <w:start w:val="1"/>
      <w:numFmt w:val="bullet"/>
      <w:lvlText w:val=""/>
      <w:lvlJc w:val="left"/>
      <w:pPr>
        <w:ind w:left="5400" w:hanging="360"/>
      </w:pPr>
      <w:rPr>
        <w:rFonts w:ascii="Symbol" w:hAnsi="Symbol" w:hint="default"/>
      </w:rPr>
    </w:lvl>
    <w:lvl w:ilvl="7" w:tplc="9D1A5FF2">
      <w:start w:val="1"/>
      <w:numFmt w:val="bullet"/>
      <w:lvlText w:val="o"/>
      <w:lvlJc w:val="left"/>
      <w:pPr>
        <w:ind w:left="6120" w:hanging="360"/>
      </w:pPr>
      <w:rPr>
        <w:rFonts w:ascii="Courier New" w:hAnsi="Courier New" w:hint="default"/>
      </w:rPr>
    </w:lvl>
    <w:lvl w:ilvl="8" w:tplc="655A8BF2">
      <w:start w:val="1"/>
      <w:numFmt w:val="bullet"/>
      <w:lvlText w:val=""/>
      <w:lvlJc w:val="left"/>
      <w:pPr>
        <w:ind w:left="6840" w:hanging="360"/>
      </w:pPr>
      <w:rPr>
        <w:rFonts w:ascii="Wingdings" w:hAnsi="Wingdings" w:hint="default"/>
      </w:rPr>
    </w:lvl>
  </w:abstractNum>
  <w:abstractNum w:abstractNumId="3" w15:restartNumberingAfterBreak="0">
    <w:nsid w:val="27565902"/>
    <w:multiLevelType w:val="hybridMultilevel"/>
    <w:tmpl w:val="45B459CC"/>
    <w:lvl w:ilvl="0" w:tplc="FFFFFFFF">
      <w:start w:val="1"/>
      <w:numFmt w:val="bullet"/>
      <w:lvlText w:val=""/>
      <w:lvlJc w:val="left"/>
      <w:pPr>
        <w:ind w:left="720" w:hanging="360"/>
      </w:pPr>
      <w:rPr>
        <w:rFonts w:ascii="Symbol" w:hAnsi="Symbol" w:hint="default"/>
      </w:rPr>
    </w:lvl>
    <w:lvl w:ilvl="1" w:tplc="6E645B46">
      <w:start w:val="1"/>
      <w:numFmt w:val="bullet"/>
      <w:lvlText w:val="o"/>
      <w:lvlJc w:val="left"/>
      <w:pPr>
        <w:ind w:left="1440" w:hanging="360"/>
      </w:pPr>
      <w:rPr>
        <w:rFonts w:ascii="Times New Roman" w:hAnsi="Times New Roman" w:cs="Times New Roman" w:hint="default"/>
        <w:sz w:val="24"/>
        <w:szCs w:val="24"/>
      </w:rPr>
    </w:lvl>
    <w:lvl w:ilvl="2" w:tplc="4B36D47E">
      <w:start w:val="1"/>
      <w:numFmt w:val="bullet"/>
      <w:lvlText w:val=""/>
      <w:lvlJc w:val="left"/>
      <w:pPr>
        <w:ind w:left="2160" w:hanging="360"/>
      </w:pPr>
      <w:rPr>
        <w:rFonts w:ascii="Wingdings" w:hAnsi="Wingdings" w:hint="default"/>
      </w:rPr>
    </w:lvl>
    <w:lvl w:ilvl="3" w:tplc="A7667744">
      <w:start w:val="1"/>
      <w:numFmt w:val="bullet"/>
      <w:lvlText w:val=""/>
      <w:lvlJc w:val="left"/>
      <w:pPr>
        <w:ind w:left="2880" w:hanging="360"/>
      </w:pPr>
      <w:rPr>
        <w:rFonts w:ascii="Symbol" w:hAnsi="Symbol" w:hint="default"/>
      </w:rPr>
    </w:lvl>
    <w:lvl w:ilvl="4" w:tplc="FE12C544">
      <w:start w:val="1"/>
      <w:numFmt w:val="bullet"/>
      <w:lvlText w:val="o"/>
      <w:lvlJc w:val="left"/>
      <w:pPr>
        <w:ind w:left="3600" w:hanging="360"/>
      </w:pPr>
      <w:rPr>
        <w:rFonts w:ascii="Courier New" w:hAnsi="Courier New" w:hint="default"/>
      </w:rPr>
    </w:lvl>
    <w:lvl w:ilvl="5" w:tplc="389C25AC">
      <w:start w:val="1"/>
      <w:numFmt w:val="bullet"/>
      <w:lvlText w:val=""/>
      <w:lvlJc w:val="left"/>
      <w:pPr>
        <w:ind w:left="4320" w:hanging="360"/>
      </w:pPr>
      <w:rPr>
        <w:rFonts w:ascii="Wingdings" w:hAnsi="Wingdings" w:hint="default"/>
      </w:rPr>
    </w:lvl>
    <w:lvl w:ilvl="6" w:tplc="93B04E7A">
      <w:start w:val="1"/>
      <w:numFmt w:val="bullet"/>
      <w:lvlText w:val=""/>
      <w:lvlJc w:val="left"/>
      <w:pPr>
        <w:ind w:left="5040" w:hanging="360"/>
      </w:pPr>
      <w:rPr>
        <w:rFonts w:ascii="Symbol" w:hAnsi="Symbol" w:hint="default"/>
      </w:rPr>
    </w:lvl>
    <w:lvl w:ilvl="7" w:tplc="28F0E05A">
      <w:start w:val="1"/>
      <w:numFmt w:val="bullet"/>
      <w:lvlText w:val="o"/>
      <w:lvlJc w:val="left"/>
      <w:pPr>
        <w:ind w:left="5760" w:hanging="360"/>
      </w:pPr>
      <w:rPr>
        <w:rFonts w:ascii="Courier New" w:hAnsi="Courier New" w:hint="default"/>
      </w:rPr>
    </w:lvl>
    <w:lvl w:ilvl="8" w:tplc="8BC2F41C">
      <w:start w:val="1"/>
      <w:numFmt w:val="bullet"/>
      <w:lvlText w:val=""/>
      <w:lvlJc w:val="left"/>
      <w:pPr>
        <w:ind w:left="6480" w:hanging="360"/>
      </w:pPr>
      <w:rPr>
        <w:rFonts w:ascii="Wingdings" w:hAnsi="Wingdings" w:hint="default"/>
      </w:rPr>
    </w:lvl>
  </w:abstractNum>
  <w:abstractNum w:abstractNumId="4" w15:restartNumberingAfterBreak="0">
    <w:nsid w:val="2B9D6711"/>
    <w:multiLevelType w:val="hybridMultilevel"/>
    <w:tmpl w:val="7804D176"/>
    <w:lvl w:ilvl="0" w:tplc="2716C85E">
      <w:start w:val="1"/>
      <w:numFmt w:val="bullet"/>
      <w:lvlText w:val=""/>
      <w:lvlJc w:val="left"/>
      <w:pPr>
        <w:ind w:left="720" w:hanging="360"/>
      </w:pPr>
      <w:rPr>
        <w:rFonts w:ascii="Symbol" w:hAnsi="Symbol" w:hint="default"/>
      </w:rPr>
    </w:lvl>
    <w:lvl w:ilvl="1" w:tplc="4CE0BD30">
      <w:start w:val="1"/>
      <w:numFmt w:val="bullet"/>
      <w:lvlText w:val="o"/>
      <w:lvlJc w:val="left"/>
      <w:pPr>
        <w:ind w:left="1440" w:hanging="360"/>
      </w:pPr>
      <w:rPr>
        <w:rFonts w:ascii="Courier New" w:hAnsi="Courier New" w:hint="default"/>
      </w:rPr>
    </w:lvl>
    <w:lvl w:ilvl="2" w:tplc="85D25556">
      <w:start w:val="1"/>
      <w:numFmt w:val="bullet"/>
      <w:lvlText w:val=""/>
      <w:lvlJc w:val="left"/>
      <w:pPr>
        <w:ind w:left="2160" w:hanging="360"/>
      </w:pPr>
      <w:rPr>
        <w:rFonts w:ascii="Wingdings" w:hAnsi="Wingdings" w:hint="default"/>
      </w:rPr>
    </w:lvl>
    <w:lvl w:ilvl="3" w:tplc="1A022C86">
      <w:start w:val="1"/>
      <w:numFmt w:val="bullet"/>
      <w:lvlText w:val=""/>
      <w:lvlJc w:val="left"/>
      <w:pPr>
        <w:ind w:left="2880" w:hanging="360"/>
      </w:pPr>
      <w:rPr>
        <w:rFonts w:ascii="Symbol" w:hAnsi="Symbol" w:hint="default"/>
      </w:rPr>
    </w:lvl>
    <w:lvl w:ilvl="4" w:tplc="957A1056">
      <w:start w:val="1"/>
      <w:numFmt w:val="bullet"/>
      <w:lvlText w:val="o"/>
      <w:lvlJc w:val="left"/>
      <w:pPr>
        <w:ind w:left="3600" w:hanging="360"/>
      </w:pPr>
      <w:rPr>
        <w:rFonts w:ascii="Courier New" w:hAnsi="Courier New" w:hint="default"/>
      </w:rPr>
    </w:lvl>
    <w:lvl w:ilvl="5" w:tplc="35D24268">
      <w:start w:val="1"/>
      <w:numFmt w:val="bullet"/>
      <w:lvlText w:val=""/>
      <w:lvlJc w:val="left"/>
      <w:pPr>
        <w:ind w:left="4320" w:hanging="360"/>
      </w:pPr>
      <w:rPr>
        <w:rFonts w:ascii="Wingdings" w:hAnsi="Wingdings" w:hint="default"/>
      </w:rPr>
    </w:lvl>
    <w:lvl w:ilvl="6" w:tplc="F4121E36">
      <w:start w:val="1"/>
      <w:numFmt w:val="bullet"/>
      <w:lvlText w:val=""/>
      <w:lvlJc w:val="left"/>
      <w:pPr>
        <w:ind w:left="5040" w:hanging="360"/>
      </w:pPr>
      <w:rPr>
        <w:rFonts w:ascii="Symbol" w:hAnsi="Symbol" w:hint="default"/>
      </w:rPr>
    </w:lvl>
    <w:lvl w:ilvl="7" w:tplc="63F63536">
      <w:start w:val="1"/>
      <w:numFmt w:val="bullet"/>
      <w:lvlText w:val="o"/>
      <w:lvlJc w:val="left"/>
      <w:pPr>
        <w:ind w:left="5760" w:hanging="360"/>
      </w:pPr>
      <w:rPr>
        <w:rFonts w:ascii="Courier New" w:hAnsi="Courier New" w:hint="default"/>
      </w:rPr>
    </w:lvl>
    <w:lvl w:ilvl="8" w:tplc="BF105D44">
      <w:start w:val="1"/>
      <w:numFmt w:val="bullet"/>
      <w:lvlText w:val=""/>
      <w:lvlJc w:val="left"/>
      <w:pPr>
        <w:ind w:left="6480" w:hanging="360"/>
      </w:pPr>
      <w:rPr>
        <w:rFonts w:ascii="Wingdings" w:hAnsi="Wingdings" w:hint="default"/>
      </w:rPr>
    </w:lvl>
  </w:abstractNum>
  <w:abstractNum w:abstractNumId="5" w15:restartNumberingAfterBreak="0">
    <w:nsid w:val="3304500E"/>
    <w:multiLevelType w:val="hybridMultilevel"/>
    <w:tmpl w:val="F3F24F44"/>
    <w:lvl w:ilvl="0" w:tplc="662AD05C">
      <w:start w:val="1"/>
      <w:numFmt w:val="bullet"/>
      <w:lvlText w:val=""/>
      <w:lvlJc w:val="left"/>
      <w:pPr>
        <w:ind w:left="1080" w:hanging="360"/>
      </w:pPr>
      <w:rPr>
        <w:rFonts w:ascii="Symbol" w:hAnsi="Symbol" w:hint="default"/>
      </w:rPr>
    </w:lvl>
    <w:lvl w:ilvl="1" w:tplc="F12015D6">
      <w:start w:val="1"/>
      <w:numFmt w:val="bullet"/>
      <w:lvlText w:val="o"/>
      <w:lvlJc w:val="left"/>
      <w:pPr>
        <w:ind w:left="1800" w:hanging="360"/>
      </w:pPr>
      <w:rPr>
        <w:rFonts w:ascii="Courier New" w:hAnsi="Courier New" w:hint="default"/>
      </w:rPr>
    </w:lvl>
    <w:lvl w:ilvl="2" w:tplc="0C709A02">
      <w:start w:val="1"/>
      <w:numFmt w:val="bullet"/>
      <w:lvlText w:val=""/>
      <w:lvlJc w:val="left"/>
      <w:pPr>
        <w:ind w:left="2520" w:hanging="360"/>
      </w:pPr>
      <w:rPr>
        <w:rFonts w:ascii="Wingdings" w:hAnsi="Wingdings" w:hint="default"/>
      </w:rPr>
    </w:lvl>
    <w:lvl w:ilvl="3" w:tplc="C5D631F0">
      <w:start w:val="1"/>
      <w:numFmt w:val="bullet"/>
      <w:lvlText w:val=""/>
      <w:lvlJc w:val="left"/>
      <w:pPr>
        <w:ind w:left="3240" w:hanging="360"/>
      </w:pPr>
      <w:rPr>
        <w:rFonts w:ascii="Symbol" w:hAnsi="Symbol" w:hint="default"/>
      </w:rPr>
    </w:lvl>
    <w:lvl w:ilvl="4" w:tplc="48041D0C">
      <w:start w:val="1"/>
      <w:numFmt w:val="bullet"/>
      <w:lvlText w:val="o"/>
      <w:lvlJc w:val="left"/>
      <w:pPr>
        <w:ind w:left="3960" w:hanging="360"/>
      </w:pPr>
      <w:rPr>
        <w:rFonts w:ascii="Courier New" w:hAnsi="Courier New" w:hint="default"/>
      </w:rPr>
    </w:lvl>
    <w:lvl w:ilvl="5" w:tplc="CC0CA36E">
      <w:start w:val="1"/>
      <w:numFmt w:val="bullet"/>
      <w:lvlText w:val=""/>
      <w:lvlJc w:val="left"/>
      <w:pPr>
        <w:ind w:left="4680" w:hanging="360"/>
      </w:pPr>
      <w:rPr>
        <w:rFonts w:ascii="Wingdings" w:hAnsi="Wingdings" w:hint="default"/>
      </w:rPr>
    </w:lvl>
    <w:lvl w:ilvl="6" w:tplc="61601680">
      <w:start w:val="1"/>
      <w:numFmt w:val="bullet"/>
      <w:lvlText w:val=""/>
      <w:lvlJc w:val="left"/>
      <w:pPr>
        <w:ind w:left="5400" w:hanging="360"/>
      </w:pPr>
      <w:rPr>
        <w:rFonts w:ascii="Symbol" w:hAnsi="Symbol" w:hint="default"/>
      </w:rPr>
    </w:lvl>
    <w:lvl w:ilvl="7" w:tplc="7C2E8058">
      <w:start w:val="1"/>
      <w:numFmt w:val="bullet"/>
      <w:lvlText w:val="o"/>
      <w:lvlJc w:val="left"/>
      <w:pPr>
        <w:ind w:left="6120" w:hanging="360"/>
      </w:pPr>
      <w:rPr>
        <w:rFonts w:ascii="Courier New" w:hAnsi="Courier New" w:hint="default"/>
      </w:rPr>
    </w:lvl>
    <w:lvl w:ilvl="8" w:tplc="2E30671E">
      <w:start w:val="1"/>
      <w:numFmt w:val="bullet"/>
      <w:lvlText w:val=""/>
      <w:lvlJc w:val="left"/>
      <w:pPr>
        <w:ind w:left="6840" w:hanging="360"/>
      </w:pPr>
      <w:rPr>
        <w:rFonts w:ascii="Wingdings" w:hAnsi="Wingdings" w:hint="default"/>
      </w:rPr>
    </w:lvl>
  </w:abstractNum>
  <w:abstractNum w:abstractNumId="6" w15:restartNumberingAfterBreak="0">
    <w:nsid w:val="3CB22AEB"/>
    <w:multiLevelType w:val="hybridMultilevel"/>
    <w:tmpl w:val="51FE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762C6"/>
    <w:multiLevelType w:val="hybridMultilevel"/>
    <w:tmpl w:val="35AE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F3DEF"/>
    <w:multiLevelType w:val="hybridMultilevel"/>
    <w:tmpl w:val="C7E09040"/>
    <w:lvl w:ilvl="0" w:tplc="4A680814">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72872"/>
    <w:multiLevelType w:val="hybridMultilevel"/>
    <w:tmpl w:val="97D6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B4D5E"/>
    <w:multiLevelType w:val="hybridMultilevel"/>
    <w:tmpl w:val="C91A8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AB6E64"/>
    <w:multiLevelType w:val="hybridMultilevel"/>
    <w:tmpl w:val="80FE247A"/>
    <w:lvl w:ilvl="0" w:tplc="C21ADCA2">
      <w:start w:val="1"/>
      <w:numFmt w:val="bullet"/>
      <w:lvlText w:val=""/>
      <w:lvlJc w:val="left"/>
      <w:pPr>
        <w:ind w:left="720" w:hanging="360"/>
      </w:pPr>
      <w:rPr>
        <w:rFonts w:ascii="Symbol" w:hAnsi="Symbol" w:hint="default"/>
      </w:rPr>
    </w:lvl>
    <w:lvl w:ilvl="1" w:tplc="AD2CF38C">
      <w:start w:val="1"/>
      <w:numFmt w:val="bullet"/>
      <w:lvlText w:val="o"/>
      <w:lvlJc w:val="left"/>
      <w:pPr>
        <w:ind w:left="1440" w:hanging="360"/>
      </w:pPr>
      <w:rPr>
        <w:rFonts w:ascii="Courier New" w:hAnsi="Courier New" w:hint="default"/>
      </w:rPr>
    </w:lvl>
    <w:lvl w:ilvl="2" w:tplc="07EE965E">
      <w:start w:val="1"/>
      <w:numFmt w:val="bullet"/>
      <w:lvlText w:val=""/>
      <w:lvlJc w:val="left"/>
      <w:pPr>
        <w:ind w:left="2160" w:hanging="360"/>
      </w:pPr>
      <w:rPr>
        <w:rFonts w:ascii="Wingdings" w:hAnsi="Wingdings" w:hint="default"/>
      </w:rPr>
    </w:lvl>
    <w:lvl w:ilvl="3" w:tplc="213A2B5A">
      <w:start w:val="1"/>
      <w:numFmt w:val="bullet"/>
      <w:lvlText w:val=""/>
      <w:lvlJc w:val="left"/>
      <w:pPr>
        <w:ind w:left="2880" w:hanging="360"/>
      </w:pPr>
      <w:rPr>
        <w:rFonts w:ascii="Symbol" w:hAnsi="Symbol" w:hint="default"/>
      </w:rPr>
    </w:lvl>
    <w:lvl w:ilvl="4" w:tplc="A88A2ED6">
      <w:start w:val="1"/>
      <w:numFmt w:val="bullet"/>
      <w:lvlText w:val="o"/>
      <w:lvlJc w:val="left"/>
      <w:pPr>
        <w:ind w:left="3600" w:hanging="360"/>
      </w:pPr>
      <w:rPr>
        <w:rFonts w:ascii="Courier New" w:hAnsi="Courier New" w:hint="default"/>
      </w:rPr>
    </w:lvl>
    <w:lvl w:ilvl="5" w:tplc="386CF1E2">
      <w:start w:val="1"/>
      <w:numFmt w:val="bullet"/>
      <w:lvlText w:val=""/>
      <w:lvlJc w:val="left"/>
      <w:pPr>
        <w:ind w:left="4320" w:hanging="360"/>
      </w:pPr>
      <w:rPr>
        <w:rFonts w:ascii="Wingdings" w:hAnsi="Wingdings" w:hint="default"/>
      </w:rPr>
    </w:lvl>
    <w:lvl w:ilvl="6" w:tplc="F134DC22">
      <w:start w:val="1"/>
      <w:numFmt w:val="bullet"/>
      <w:lvlText w:val=""/>
      <w:lvlJc w:val="left"/>
      <w:pPr>
        <w:ind w:left="5040" w:hanging="360"/>
      </w:pPr>
      <w:rPr>
        <w:rFonts w:ascii="Symbol" w:hAnsi="Symbol" w:hint="default"/>
      </w:rPr>
    </w:lvl>
    <w:lvl w:ilvl="7" w:tplc="B06E1948">
      <w:start w:val="1"/>
      <w:numFmt w:val="bullet"/>
      <w:lvlText w:val="o"/>
      <w:lvlJc w:val="left"/>
      <w:pPr>
        <w:ind w:left="5760" w:hanging="360"/>
      </w:pPr>
      <w:rPr>
        <w:rFonts w:ascii="Courier New" w:hAnsi="Courier New" w:hint="default"/>
      </w:rPr>
    </w:lvl>
    <w:lvl w:ilvl="8" w:tplc="22C2D22E">
      <w:start w:val="1"/>
      <w:numFmt w:val="bullet"/>
      <w:lvlText w:val=""/>
      <w:lvlJc w:val="left"/>
      <w:pPr>
        <w:ind w:left="6480" w:hanging="360"/>
      </w:pPr>
      <w:rPr>
        <w:rFonts w:ascii="Wingdings" w:hAnsi="Wingdings" w:hint="default"/>
      </w:rPr>
    </w:lvl>
  </w:abstractNum>
  <w:abstractNum w:abstractNumId="12" w15:restartNumberingAfterBreak="0">
    <w:nsid w:val="49A05463"/>
    <w:multiLevelType w:val="hybridMultilevel"/>
    <w:tmpl w:val="A866FAC6"/>
    <w:lvl w:ilvl="0" w:tplc="3B2C8F06">
      <w:start w:val="1"/>
      <w:numFmt w:val="decimal"/>
      <w:lvlText w:val="%1."/>
      <w:lvlJc w:val="left"/>
      <w:pPr>
        <w:ind w:left="360" w:hanging="360"/>
      </w:pPr>
      <w:rPr>
        <w:rFonts w:ascii="Times New Roman" w:eastAsia="Times New Roman" w:hAnsi="Times New Roman" w:cs="Times New Roman"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50A34"/>
    <w:multiLevelType w:val="hybridMultilevel"/>
    <w:tmpl w:val="712C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51EEC"/>
    <w:multiLevelType w:val="hybridMultilevel"/>
    <w:tmpl w:val="DF8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F3DC0"/>
    <w:multiLevelType w:val="hybridMultilevel"/>
    <w:tmpl w:val="164A53CE"/>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3106C7"/>
    <w:multiLevelType w:val="hybridMultilevel"/>
    <w:tmpl w:val="805A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C3B96"/>
    <w:multiLevelType w:val="hybridMultilevel"/>
    <w:tmpl w:val="5692A0EE"/>
    <w:lvl w:ilvl="0" w:tplc="0A5CBD56">
      <w:start w:val="1"/>
      <w:numFmt w:val="bullet"/>
      <w:lvlText w:val=""/>
      <w:lvlJc w:val="left"/>
      <w:pPr>
        <w:ind w:left="1080" w:hanging="360"/>
      </w:pPr>
      <w:rPr>
        <w:rFonts w:ascii="Symbol" w:hAnsi="Symbol" w:hint="default"/>
      </w:rPr>
    </w:lvl>
    <w:lvl w:ilvl="1" w:tplc="1570DF18">
      <w:start w:val="1"/>
      <w:numFmt w:val="bullet"/>
      <w:lvlText w:val="o"/>
      <w:lvlJc w:val="left"/>
      <w:pPr>
        <w:ind w:left="1800" w:hanging="360"/>
      </w:pPr>
      <w:rPr>
        <w:rFonts w:ascii="Courier New" w:hAnsi="Courier New" w:hint="default"/>
      </w:rPr>
    </w:lvl>
    <w:lvl w:ilvl="2" w:tplc="31E81AB8">
      <w:start w:val="1"/>
      <w:numFmt w:val="bullet"/>
      <w:lvlText w:val=""/>
      <w:lvlJc w:val="left"/>
      <w:pPr>
        <w:ind w:left="2520" w:hanging="360"/>
      </w:pPr>
      <w:rPr>
        <w:rFonts w:ascii="Wingdings" w:hAnsi="Wingdings" w:hint="default"/>
      </w:rPr>
    </w:lvl>
    <w:lvl w:ilvl="3" w:tplc="4BFA3B86">
      <w:start w:val="1"/>
      <w:numFmt w:val="bullet"/>
      <w:lvlText w:val=""/>
      <w:lvlJc w:val="left"/>
      <w:pPr>
        <w:ind w:left="3240" w:hanging="360"/>
      </w:pPr>
      <w:rPr>
        <w:rFonts w:ascii="Symbol" w:hAnsi="Symbol" w:hint="default"/>
      </w:rPr>
    </w:lvl>
    <w:lvl w:ilvl="4" w:tplc="F5685B34">
      <w:start w:val="1"/>
      <w:numFmt w:val="bullet"/>
      <w:lvlText w:val="o"/>
      <w:lvlJc w:val="left"/>
      <w:pPr>
        <w:ind w:left="3960" w:hanging="360"/>
      </w:pPr>
      <w:rPr>
        <w:rFonts w:ascii="Courier New" w:hAnsi="Courier New" w:hint="default"/>
      </w:rPr>
    </w:lvl>
    <w:lvl w:ilvl="5" w:tplc="5BF08504">
      <w:start w:val="1"/>
      <w:numFmt w:val="bullet"/>
      <w:lvlText w:val=""/>
      <w:lvlJc w:val="left"/>
      <w:pPr>
        <w:ind w:left="4680" w:hanging="360"/>
      </w:pPr>
      <w:rPr>
        <w:rFonts w:ascii="Wingdings" w:hAnsi="Wingdings" w:hint="default"/>
      </w:rPr>
    </w:lvl>
    <w:lvl w:ilvl="6" w:tplc="4CC47A66">
      <w:start w:val="1"/>
      <w:numFmt w:val="bullet"/>
      <w:lvlText w:val=""/>
      <w:lvlJc w:val="left"/>
      <w:pPr>
        <w:ind w:left="5400" w:hanging="360"/>
      </w:pPr>
      <w:rPr>
        <w:rFonts w:ascii="Symbol" w:hAnsi="Symbol" w:hint="default"/>
      </w:rPr>
    </w:lvl>
    <w:lvl w:ilvl="7" w:tplc="35BCBB6A">
      <w:start w:val="1"/>
      <w:numFmt w:val="bullet"/>
      <w:lvlText w:val="o"/>
      <w:lvlJc w:val="left"/>
      <w:pPr>
        <w:ind w:left="6120" w:hanging="360"/>
      </w:pPr>
      <w:rPr>
        <w:rFonts w:ascii="Courier New" w:hAnsi="Courier New" w:hint="default"/>
      </w:rPr>
    </w:lvl>
    <w:lvl w:ilvl="8" w:tplc="5CACBE18">
      <w:start w:val="1"/>
      <w:numFmt w:val="bullet"/>
      <w:lvlText w:val=""/>
      <w:lvlJc w:val="left"/>
      <w:pPr>
        <w:ind w:left="6840" w:hanging="360"/>
      </w:pPr>
      <w:rPr>
        <w:rFonts w:ascii="Wingdings" w:hAnsi="Wingdings" w:hint="default"/>
      </w:rPr>
    </w:lvl>
  </w:abstractNum>
  <w:abstractNum w:abstractNumId="18" w15:restartNumberingAfterBreak="0">
    <w:nsid w:val="6837531C"/>
    <w:multiLevelType w:val="hybridMultilevel"/>
    <w:tmpl w:val="3186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96127"/>
    <w:multiLevelType w:val="hybridMultilevel"/>
    <w:tmpl w:val="5ABA2630"/>
    <w:lvl w:ilvl="0" w:tplc="41967D94">
      <w:start w:val="1"/>
      <w:numFmt w:val="decimal"/>
      <w:lvlText w:val="%1."/>
      <w:lvlJc w:val="left"/>
      <w:pPr>
        <w:ind w:left="360" w:hanging="360"/>
      </w:pPr>
      <w:rPr>
        <w:rFonts w:ascii="Times New Roman" w:eastAsia="Times New Roman" w:hAnsi="Times New Roman" w:cs="Times New Roman"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AD10CD"/>
    <w:multiLevelType w:val="hybridMultilevel"/>
    <w:tmpl w:val="E1984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94A8B"/>
    <w:multiLevelType w:val="hybridMultilevel"/>
    <w:tmpl w:val="147C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15DC4"/>
    <w:multiLevelType w:val="hybridMultilevel"/>
    <w:tmpl w:val="CA04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693774">
    <w:abstractNumId w:val="10"/>
  </w:num>
  <w:num w:numId="2" w16cid:durableId="1050416696">
    <w:abstractNumId w:val="1"/>
  </w:num>
  <w:num w:numId="3" w16cid:durableId="2127581572">
    <w:abstractNumId w:val="2"/>
  </w:num>
  <w:num w:numId="4" w16cid:durableId="1120567209">
    <w:abstractNumId w:val="17"/>
  </w:num>
  <w:num w:numId="5" w16cid:durableId="1655986194">
    <w:abstractNumId w:val="13"/>
  </w:num>
  <w:num w:numId="6" w16cid:durableId="230164409">
    <w:abstractNumId w:val="14"/>
  </w:num>
  <w:num w:numId="7" w16cid:durableId="710615314">
    <w:abstractNumId w:val="9"/>
  </w:num>
  <w:num w:numId="8" w16cid:durableId="260918668">
    <w:abstractNumId w:val="6"/>
  </w:num>
  <w:num w:numId="9" w16cid:durableId="1347753964">
    <w:abstractNumId w:val="22"/>
  </w:num>
  <w:num w:numId="10" w16cid:durableId="1829788808">
    <w:abstractNumId w:val="16"/>
  </w:num>
  <w:num w:numId="11" w16cid:durableId="1117800664">
    <w:abstractNumId w:val="20"/>
  </w:num>
  <w:num w:numId="12" w16cid:durableId="1787848935">
    <w:abstractNumId w:val="3"/>
  </w:num>
  <w:num w:numId="13" w16cid:durableId="496774969">
    <w:abstractNumId w:val="18"/>
  </w:num>
  <w:num w:numId="14" w16cid:durableId="1046024168">
    <w:abstractNumId w:val="5"/>
  </w:num>
  <w:num w:numId="15" w16cid:durableId="36584868">
    <w:abstractNumId w:val="0"/>
  </w:num>
  <w:num w:numId="16" w16cid:durableId="694115095">
    <w:abstractNumId w:val="11"/>
  </w:num>
  <w:num w:numId="17" w16cid:durableId="171068143">
    <w:abstractNumId w:val="15"/>
  </w:num>
  <w:num w:numId="18" w16cid:durableId="1994679093">
    <w:abstractNumId w:val="12"/>
  </w:num>
  <w:num w:numId="19" w16cid:durableId="1905140217">
    <w:abstractNumId w:val="4"/>
  </w:num>
  <w:num w:numId="20" w16cid:durableId="124465906">
    <w:abstractNumId w:val="7"/>
  </w:num>
  <w:num w:numId="21" w16cid:durableId="157967125">
    <w:abstractNumId w:val="19"/>
  </w:num>
  <w:num w:numId="22" w16cid:durableId="1419137982">
    <w:abstractNumId w:val="21"/>
  </w:num>
  <w:num w:numId="23" w16cid:durableId="1196967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8E"/>
    <w:rsid w:val="00000DC1"/>
    <w:rsid w:val="00001E66"/>
    <w:rsid w:val="00005BD4"/>
    <w:rsid w:val="00022EC7"/>
    <w:rsid w:val="00023E15"/>
    <w:rsid w:val="00027B17"/>
    <w:rsid w:val="00037A08"/>
    <w:rsid w:val="000553CF"/>
    <w:rsid w:val="000630D7"/>
    <w:rsid w:val="00077165"/>
    <w:rsid w:val="00086C88"/>
    <w:rsid w:val="00090A99"/>
    <w:rsid w:val="000B49C0"/>
    <w:rsid w:val="000E478F"/>
    <w:rsid w:val="000E6207"/>
    <w:rsid w:val="000E74E3"/>
    <w:rsid w:val="000F4A76"/>
    <w:rsid w:val="00101E13"/>
    <w:rsid w:val="00112942"/>
    <w:rsid w:val="0012346C"/>
    <w:rsid w:val="00134FC5"/>
    <w:rsid w:val="00153A50"/>
    <w:rsid w:val="00172B26"/>
    <w:rsid w:val="00192002"/>
    <w:rsid w:val="00194586"/>
    <w:rsid w:val="001A3F3E"/>
    <w:rsid w:val="001A6AD3"/>
    <w:rsid w:val="001D05AC"/>
    <w:rsid w:val="001D2BB9"/>
    <w:rsid w:val="001D7017"/>
    <w:rsid w:val="001E787F"/>
    <w:rsid w:val="001F01F8"/>
    <w:rsid w:val="001F5F7A"/>
    <w:rsid w:val="001F700F"/>
    <w:rsid w:val="002029AD"/>
    <w:rsid w:val="00223008"/>
    <w:rsid w:val="002242D0"/>
    <w:rsid w:val="00260AB9"/>
    <w:rsid w:val="002614E1"/>
    <w:rsid w:val="00263886"/>
    <w:rsid w:val="00263E7B"/>
    <w:rsid w:val="00265B60"/>
    <w:rsid w:val="00272BA2"/>
    <w:rsid w:val="00291814"/>
    <w:rsid w:val="002A5059"/>
    <w:rsid w:val="002B5289"/>
    <w:rsid w:val="002B62FE"/>
    <w:rsid w:val="002D6583"/>
    <w:rsid w:val="002E2661"/>
    <w:rsid w:val="002E2AAA"/>
    <w:rsid w:val="002E65B9"/>
    <w:rsid w:val="002E7921"/>
    <w:rsid w:val="002F6196"/>
    <w:rsid w:val="003000CD"/>
    <w:rsid w:val="00314C43"/>
    <w:rsid w:val="0031788D"/>
    <w:rsid w:val="00331D66"/>
    <w:rsid w:val="00333CDB"/>
    <w:rsid w:val="00334E62"/>
    <w:rsid w:val="00355A59"/>
    <w:rsid w:val="0035715B"/>
    <w:rsid w:val="0036055D"/>
    <w:rsid w:val="0036210C"/>
    <w:rsid w:val="00372382"/>
    <w:rsid w:val="003929D3"/>
    <w:rsid w:val="00395D42"/>
    <w:rsid w:val="003A1E9D"/>
    <w:rsid w:val="003B3E7C"/>
    <w:rsid w:val="003B418F"/>
    <w:rsid w:val="003C0F08"/>
    <w:rsid w:val="003F1979"/>
    <w:rsid w:val="00403161"/>
    <w:rsid w:val="00414FA2"/>
    <w:rsid w:val="0043025D"/>
    <w:rsid w:val="004337BE"/>
    <w:rsid w:val="00435B1A"/>
    <w:rsid w:val="004400D0"/>
    <w:rsid w:val="00455117"/>
    <w:rsid w:val="00455FD1"/>
    <w:rsid w:val="00473C4B"/>
    <w:rsid w:val="004A02F4"/>
    <w:rsid w:val="004C5E2D"/>
    <w:rsid w:val="004D3515"/>
    <w:rsid w:val="004F369B"/>
    <w:rsid w:val="00503695"/>
    <w:rsid w:val="00507273"/>
    <w:rsid w:val="005235E3"/>
    <w:rsid w:val="0052465C"/>
    <w:rsid w:val="005321E8"/>
    <w:rsid w:val="005323A0"/>
    <w:rsid w:val="005347AF"/>
    <w:rsid w:val="0054431C"/>
    <w:rsid w:val="00551E74"/>
    <w:rsid w:val="0058010B"/>
    <w:rsid w:val="0058346B"/>
    <w:rsid w:val="005839B0"/>
    <w:rsid w:val="005A528D"/>
    <w:rsid w:val="005A649C"/>
    <w:rsid w:val="005B1049"/>
    <w:rsid w:val="005B335C"/>
    <w:rsid w:val="005B4569"/>
    <w:rsid w:val="005C162D"/>
    <w:rsid w:val="005C2439"/>
    <w:rsid w:val="005D3977"/>
    <w:rsid w:val="005D76EF"/>
    <w:rsid w:val="005D7B5E"/>
    <w:rsid w:val="005E025D"/>
    <w:rsid w:val="005E3099"/>
    <w:rsid w:val="00613950"/>
    <w:rsid w:val="00626F09"/>
    <w:rsid w:val="006313B7"/>
    <w:rsid w:val="00653E8C"/>
    <w:rsid w:val="006619F4"/>
    <w:rsid w:val="00663869"/>
    <w:rsid w:val="006668C3"/>
    <w:rsid w:val="0067346C"/>
    <w:rsid w:val="00684B11"/>
    <w:rsid w:val="006A0204"/>
    <w:rsid w:val="006A48CF"/>
    <w:rsid w:val="006B300B"/>
    <w:rsid w:val="006B3EDD"/>
    <w:rsid w:val="006B7EBB"/>
    <w:rsid w:val="006C7A99"/>
    <w:rsid w:val="006E2757"/>
    <w:rsid w:val="0071775C"/>
    <w:rsid w:val="007216E7"/>
    <w:rsid w:val="007261DE"/>
    <w:rsid w:val="0072641A"/>
    <w:rsid w:val="00745561"/>
    <w:rsid w:val="007768F4"/>
    <w:rsid w:val="00782D7F"/>
    <w:rsid w:val="0079028E"/>
    <w:rsid w:val="007A038E"/>
    <w:rsid w:val="007A3D33"/>
    <w:rsid w:val="007A4424"/>
    <w:rsid w:val="007B2C47"/>
    <w:rsid w:val="007B5D85"/>
    <w:rsid w:val="007F1962"/>
    <w:rsid w:val="00801756"/>
    <w:rsid w:val="00830CAA"/>
    <w:rsid w:val="00840CC9"/>
    <w:rsid w:val="00861ADF"/>
    <w:rsid w:val="00885239"/>
    <w:rsid w:val="00890371"/>
    <w:rsid w:val="00890B7D"/>
    <w:rsid w:val="00893EB9"/>
    <w:rsid w:val="0089415A"/>
    <w:rsid w:val="00896D67"/>
    <w:rsid w:val="00897CE1"/>
    <w:rsid w:val="008A28F7"/>
    <w:rsid w:val="008B426D"/>
    <w:rsid w:val="008C2129"/>
    <w:rsid w:val="008D2915"/>
    <w:rsid w:val="008E1F42"/>
    <w:rsid w:val="008E67C1"/>
    <w:rsid w:val="008F1002"/>
    <w:rsid w:val="00917282"/>
    <w:rsid w:val="00922341"/>
    <w:rsid w:val="00931413"/>
    <w:rsid w:val="00941154"/>
    <w:rsid w:val="009671F8"/>
    <w:rsid w:val="00967360"/>
    <w:rsid w:val="00970F56"/>
    <w:rsid w:val="009728AA"/>
    <w:rsid w:val="00973EF7"/>
    <w:rsid w:val="00974AD7"/>
    <w:rsid w:val="0098304F"/>
    <w:rsid w:val="0099264C"/>
    <w:rsid w:val="00994395"/>
    <w:rsid w:val="009B3A7C"/>
    <w:rsid w:val="009C2AD3"/>
    <w:rsid w:val="009D627E"/>
    <w:rsid w:val="009E076E"/>
    <w:rsid w:val="009E2E34"/>
    <w:rsid w:val="009F2016"/>
    <w:rsid w:val="009F4E7A"/>
    <w:rsid w:val="00A44219"/>
    <w:rsid w:val="00A4472F"/>
    <w:rsid w:val="00A46398"/>
    <w:rsid w:val="00A47C66"/>
    <w:rsid w:val="00A56391"/>
    <w:rsid w:val="00A5652B"/>
    <w:rsid w:val="00A62A58"/>
    <w:rsid w:val="00A7656D"/>
    <w:rsid w:val="00AB0881"/>
    <w:rsid w:val="00AB0DD7"/>
    <w:rsid w:val="00AC0E0B"/>
    <w:rsid w:val="00AD4E96"/>
    <w:rsid w:val="00AF5543"/>
    <w:rsid w:val="00B0713C"/>
    <w:rsid w:val="00B143C3"/>
    <w:rsid w:val="00B228D6"/>
    <w:rsid w:val="00B32546"/>
    <w:rsid w:val="00B4249E"/>
    <w:rsid w:val="00B527E9"/>
    <w:rsid w:val="00B5392A"/>
    <w:rsid w:val="00B939D0"/>
    <w:rsid w:val="00BA414B"/>
    <w:rsid w:val="00BB489E"/>
    <w:rsid w:val="00BC41F0"/>
    <w:rsid w:val="00BC5E79"/>
    <w:rsid w:val="00BF1220"/>
    <w:rsid w:val="00BF4D98"/>
    <w:rsid w:val="00BF7C1F"/>
    <w:rsid w:val="00C04DD9"/>
    <w:rsid w:val="00C10685"/>
    <w:rsid w:val="00C21EC9"/>
    <w:rsid w:val="00C24AAD"/>
    <w:rsid w:val="00C419EF"/>
    <w:rsid w:val="00C4283A"/>
    <w:rsid w:val="00C46149"/>
    <w:rsid w:val="00C50873"/>
    <w:rsid w:val="00C60258"/>
    <w:rsid w:val="00C91F62"/>
    <w:rsid w:val="00C9653C"/>
    <w:rsid w:val="00C97D42"/>
    <w:rsid w:val="00CA67DC"/>
    <w:rsid w:val="00CB1520"/>
    <w:rsid w:val="00CC1B16"/>
    <w:rsid w:val="00CC2698"/>
    <w:rsid w:val="00CC295F"/>
    <w:rsid w:val="00CE728E"/>
    <w:rsid w:val="00CF530B"/>
    <w:rsid w:val="00D01751"/>
    <w:rsid w:val="00D14482"/>
    <w:rsid w:val="00D1739D"/>
    <w:rsid w:val="00D20D92"/>
    <w:rsid w:val="00D26294"/>
    <w:rsid w:val="00D515DC"/>
    <w:rsid w:val="00D5485F"/>
    <w:rsid w:val="00D75BFA"/>
    <w:rsid w:val="00D86EEF"/>
    <w:rsid w:val="00D9719A"/>
    <w:rsid w:val="00D97AA1"/>
    <w:rsid w:val="00D97DBA"/>
    <w:rsid w:val="00DA50C0"/>
    <w:rsid w:val="00DA6395"/>
    <w:rsid w:val="00DA7A9C"/>
    <w:rsid w:val="00DB1EC9"/>
    <w:rsid w:val="00DB6117"/>
    <w:rsid w:val="00DC444F"/>
    <w:rsid w:val="00DD6AF5"/>
    <w:rsid w:val="00DE7453"/>
    <w:rsid w:val="00DF1736"/>
    <w:rsid w:val="00E202E0"/>
    <w:rsid w:val="00E221C9"/>
    <w:rsid w:val="00E24FFE"/>
    <w:rsid w:val="00E30F5D"/>
    <w:rsid w:val="00E349C7"/>
    <w:rsid w:val="00E42BC4"/>
    <w:rsid w:val="00E55266"/>
    <w:rsid w:val="00E60533"/>
    <w:rsid w:val="00E60EB0"/>
    <w:rsid w:val="00E61DD8"/>
    <w:rsid w:val="00E769F0"/>
    <w:rsid w:val="00E76BE8"/>
    <w:rsid w:val="00E8063C"/>
    <w:rsid w:val="00E84EBB"/>
    <w:rsid w:val="00EA1845"/>
    <w:rsid w:val="00EA3BF7"/>
    <w:rsid w:val="00EA74F9"/>
    <w:rsid w:val="00EC363C"/>
    <w:rsid w:val="00ED1A2D"/>
    <w:rsid w:val="00EE5506"/>
    <w:rsid w:val="00EF1C30"/>
    <w:rsid w:val="00F36D63"/>
    <w:rsid w:val="00F42474"/>
    <w:rsid w:val="00F43FA6"/>
    <w:rsid w:val="00F46E1E"/>
    <w:rsid w:val="00F54A04"/>
    <w:rsid w:val="00F67F33"/>
    <w:rsid w:val="00F80932"/>
    <w:rsid w:val="00F81316"/>
    <w:rsid w:val="00F86DC6"/>
    <w:rsid w:val="00FA3477"/>
    <w:rsid w:val="00FB0A76"/>
    <w:rsid w:val="00FD1B29"/>
    <w:rsid w:val="00FD284A"/>
    <w:rsid w:val="00FE19F6"/>
    <w:rsid w:val="00FE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6843"/>
  <w15:chartTrackingRefBased/>
  <w15:docId w15:val="{EA3D8466-2A7D-41E7-8241-00B9219E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D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EDD"/>
    <w:pPr>
      <w:ind w:left="720"/>
      <w:contextualSpacing/>
    </w:pPr>
  </w:style>
  <w:style w:type="character" w:styleId="Hyperlink">
    <w:name w:val="Hyperlink"/>
    <w:basedOn w:val="DefaultParagraphFont"/>
    <w:uiPriority w:val="99"/>
    <w:rsid w:val="000E6207"/>
    <w:rPr>
      <w:rFonts w:cs="Times New Roman"/>
      <w:color w:val="0000FF"/>
      <w:u w:val="single"/>
    </w:rPr>
  </w:style>
  <w:style w:type="paragraph" w:styleId="FootnoteText">
    <w:name w:val="footnote text"/>
    <w:basedOn w:val="Normal"/>
    <w:link w:val="FootnoteTextChar"/>
    <w:uiPriority w:val="99"/>
    <w:rsid w:val="000E62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620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E6207"/>
    <w:rPr>
      <w:rFonts w:cs="Times New Roman"/>
      <w:vertAlign w:val="superscript"/>
    </w:rPr>
  </w:style>
  <w:style w:type="character" w:styleId="FollowedHyperlink">
    <w:name w:val="FollowedHyperlink"/>
    <w:basedOn w:val="DefaultParagraphFont"/>
    <w:uiPriority w:val="99"/>
    <w:semiHidden/>
    <w:unhideWhenUsed/>
    <w:rsid w:val="002E7921"/>
    <w:rPr>
      <w:color w:val="954F72" w:themeColor="followedHyperlink"/>
      <w:u w:val="single"/>
    </w:rPr>
  </w:style>
  <w:style w:type="character" w:styleId="UnresolvedMention">
    <w:name w:val="Unresolved Mention"/>
    <w:basedOn w:val="DefaultParagraphFont"/>
    <w:uiPriority w:val="99"/>
    <w:semiHidden/>
    <w:unhideWhenUsed/>
    <w:rsid w:val="002B5289"/>
    <w:rPr>
      <w:color w:val="605E5C"/>
      <w:shd w:val="clear" w:color="auto" w:fill="E1DFDD"/>
    </w:rPr>
  </w:style>
  <w:style w:type="paragraph" w:styleId="NormalWeb">
    <w:name w:val="Normal (Web)"/>
    <w:basedOn w:val="Normal"/>
    <w:uiPriority w:val="99"/>
    <w:unhideWhenUsed/>
    <w:rsid w:val="008A28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A28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9415A"/>
    <w:pPr>
      <w:spacing w:after="0" w:line="240" w:lineRule="auto"/>
      <w:ind w:firstLine="720"/>
    </w:pPr>
    <w:rPr>
      <w:rFonts w:ascii="Times New Roman" w:eastAsia="ヒラギノ角ゴ Pro W3"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1CAD.92155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784B-9C79-4059-BB8C-AFB13582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7</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Keenan</dc:creator>
  <cp:keywords/>
  <dc:description/>
  <cp:lastModifiedBy>John Keenan</cp:lastModifiedBy>
  <cp:revision>268</cp:revision>
  <cp:lastPrinted>2025-04-11T19:13:00Z</cp:lastPrinted>
  <dcterms:created xsi:type="dcterms:W3CDTF">2024-02-21T17:38:00Z</dcterms:created>
  <dcterms:modified xsi:type="dcterms:W3CDTF">2025-04-11T19:20:00Z</dcterms:modified>
</cp:coreProperties>
</file>