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E420" w14:textId="6D5D66BE" w:rsidR="4C60B31B" w:rsidRDefault="4C60B31B" w:rsidP="3906D24F">
      <w:pPr>
        <w:spacing w:before="240" w:after="240"/>
        <w:jc w:val="center"/>
        <w:rPr>
          <w:rFonts w:ascii="Calibri" w:eastAsia="Calibri" w:hAnsi="Calibri" w:cs="Calibri"/>
          <w:b/>
          <w:bCs/>
          <w:sz w:val="28"/>
          <w:szCs w:val="28"/>
        </w:rPr>
      </w:pPr>
      <w:r w:rsidRPr="3906D24F">
        <w:rPr>
          <w:rFonts w:ascii="Calibri" w:eastAsia="Calibri" w:hAnsi="Calibri" w:cs="Calibri"/>
          <w:b/>
          <w:bCs/>
          <w:sz w:val="28"/>
          <w:szCs w:val="28"/>
        </w:rPr>
        <w:t>Notice of Exempt Solicitation Pursuant to Rule 14a-103</w:t>
      </w:r>
    </w:p>
    <w:p w14:paraId="2EE84C3A" w14:textId="46A041E4" w:rsidR="3906D24F" w:rsidRDefault="3906D24F" w:rsidP="3906D24F">
      <w:pPr>
        <w:spacing w:before="240" w:after="240"/>
        <w:rPr>
          <w:rFonts w:ascii="Calibri" w:eastAsia="Calibri" w:hAnsi="Calibri" w:cs="Calibri"/>
        </w:rPr>
      </w:pPr>
    </w:p>
    <w:p w14:paraId="04591120" w14:textId="03A1E62C" w:rsidR="4C60B31B" w:rsidRDefault="4C60B31B" w:rsidP="3906D24F">
      <w:pPr>
        <w:spacing w:before="240" w:after="240"/>
        <w:jc w:val="center"/>
        <w:rPr>
          <w:rFonts w:ascii="Calibri" w:eastAsia="Calibri" w:hAnsi="Calibri" w:cs="Calibri"/>
        </w:rPr>
      </w:pPr>
      <w:r w:rsidRPr="3906D24F">
        <w:rPr>
          <w:rFonts w:ascii="Calibri" w:eastAsia="Calibri" w:hAnsi="Calibri" w:cs="Calibri"/>
          <w:b/>
          <w:bCs/>
        </w:rPr>
        <w:t>Name of the Registrant</w:t>
      </w:r>
      <w:r w:rsidRPr="3906D24F">
        <w:rPr>
          <w:rFonts w:ascii="Calibri" w:eastAsia="Calibri" w:hAnsi="Calibri" w:cs="Calibri"/>
        </w:rPr>
        <w:t xml:space="preserve">: </w:t>
      </w:r>
      <w:r>
        <w:br/>
      </w:r>
      <w:r w:rsidRPr="3906D24F">
        <w:rPr>
          <w:rFonts w:ascii="Calibri" w:eastAsia="Calibri" w:hAnsi="Calibri" w:cs="Calibri"/>
        </w:rPr>
        <w:t>Mondelez International, Inc. (MDLZ)</w:t>
      </w:r>
    </w:p>
    <w:p w14:paraId="4EE074DC" w14:textId="4FBCCD7B" w:rsidR="3906D24F" w:rsidRDefault="3906D24F" w:rsidP="3906D24F">
      <w:pPr>
        <w:spacing w:before="240" w:after="240"/>
        <w:jc w:val="center"/>
        <w:rPr>
          <w:rFonts w:ascii="Calibri" w:eastAsia="Calibri" w:hAnsi="Calibri" w:cs="Calibri"/>
        </w:rPr>
      </w:pPr>
    </w:p>
    <w:p w14:paraId="766AE526" w14:textId="4C9B3970" w:rsidR="4C60B31B" w:rsidRDefault="4C60B31B" w:rsidP="3906D24F">
      <w:pPr>
        <w:spacing w:before="240" w:after="240"/>
        <w:jc w:val="center"/>
      </w:pPr>
      <w:r w:rsidRPr="3906D24F">
        <w:rPr>
          <w:rFonts w:ascii="Calibri" w:eastAsia="Calibri" w:hAnsi="Calibri" w:cs="Calibri"/>
          <w:b/>
          <w:bCs/>
        </w:rPr>
        <w:t>Name of persons relying on exemption</w:t>
      </w:r>
      <w:r w:rsidRPr="3906D24F">
        <w:rPr>
          <w:rFonts w:ascii="Calibri" w:eastAsia="Calibri" w:hAnsi="Calibri" w:cs="Calibri"/>
        </w:rPr>
        <w:t xml:space="preserve">: </w:t>
      </w:r>
      <w:r>
        <w:br/>
      </w:r>
      <w:r w:rsidRPr="3906D24F">
        <w:rPr>
          <w:rFonts w:ascii="Calibri" w:eastAsia="Calibri" w:hAnsi="Calibri" w:cs="Calibri"/>
        </w:rPr>
        <w:t xml:space="preserve">John </w:t>
      </w:r>
      <w:proofErr w:type="spellStart"/>
      <w:r w:rsidRPr="3906D24F">
        <w:rPr>
          <w:rFonts w:ascii="Calibri" w:eastAsia="Calibri" w:hAnsi="Calibri" w:cs="Calibri"/>
        </w:rPr>
        <w:t>Chevedden</w:t>
      </w:r>
      <w:proofErr w:type="spellEnd"/>
      <w:r w:rsidRPr="3906D24F">
        <w:rPr>
          <w:rFonts w:ascii="Calibri" w:eastAsia="Calibri" w:hAnsi="Calibri" w:cs="Calibri"/>
        </w:rPr>
        <w:t>, Shareholder</w:t>
      </w:r>
    </w:p>
    <w:p w14:paraId="2EEE5C37" w14:textId="48237D7F" w:rsidR="3906D24F" w:rsidRDefault="3906D24F" w:rsidP="3906D24F">
      <w:pPr>
        <w:spacing w:before="240" w:after="240"/>
        <w:jc w:val="center"/>
        <w:rPr>
          <w:rFonts w:ascii="Calibri" w:eastAsia="Calibri" w:hAnsi="Calibri" w:cs="Calibri"/>
        </w:rPr>
      </w:pPr>
    </w:p>
    <w:p w14:paraId="60E856C3" w14:textId="3D688200" w:rsidR="4C60B31B" w:rsidRDefault="4C60B31B" w:rsidP="3906D24F">
      <w:pPr>
        <w:spacing w:before="240" w:after="240"/>
        <w:jc w:val="center"/>
      </w:pPr>
      <w:r w:rsidRPr="3906D24F">
        <w:rPr>
          <w:rFonts w:ascii="Calibri" w:eastAsia="Calibri" w:hAnsi="Calibri" w:cs="Calibri"/>
          <w:b/>
          <w:bCs/>
        </w:rPr>
        <w:t>Address of persons relying on exemption</w:t>
      </w:r>
      <w:r w:rsidRPr="3906D24F">
        <w:rPr>
          <w:rFonts w:ascii="Calibri" w:eastAsia="Calibri" w:hAnsi="Calibri" w:cs="Calibri"/>
        </w:rPr>
        <w:t>:</w:t>
      </w:r>
      <w:r w:rsidR="1FF99317" w:rsidRPr="3906D24F">
        <w:rPr>
          <w:rFonts w:ascii="Calibri" w:eastAsia="Calibri" w:hAnsi="Calibri" w:cs="Calibri"/>
        </w:rPr>
        <w:t xml:space="preserve"> </w:t>
      </w:r>
      <w:r>
        <w:br/>
      </w:r>
      <w:r w:rsidR="1FF99317" w:rsidRPr="3906D24F">
        <w:rPr>
          <w:rFonts w:ascii="Calibri" w:eastAsia="Calibri" w:hAnsi="Calibri" w:cs="Calibri"/>
        </w:rPr>
        <w:t>P.O. BOX 2673, Redondo Beach, CA 90278</w:t>
      </w:r>
    </w:p>
    <w:p w14:paraId="48541494" w14:textId="15B7F05C" w:rsidR="3906D24F" w:rsidRDefault="3906D24F"/>
    <w:p w14:paraId="5D80E936" w14:textId="524EAEBA" w:rsidR="3906D24F" w:rsidRDefault="3906D24F"/>
    <w:p w14:paraId="05BC6976" w14:textId="1CC836D6" w:rsidR="1FF99317" w:rsidRDefault="1FF99317" w:rsidP="3906D24F">
      <w:pPr>
        <w:jc w:val="center"/>
      </w:pPr>
      <w:r>
        <w:t>These written materials are submitted pursuant to Rule 14a-6(g)(1) promulgated</w:t>
      </w:r>
    </w:p>
    <w:p w14:paraId="005D424D" w14:textId="199C2E84" w:rsidR="1FF99317" w:rsidRDefault="1FF99317" w:rsidP="3906D24F">
      <w:pPr>
        <w:jc w:val="center"/>
      </w:pPr>
      <w:r>
        <w:t xml:space="preserve">under the Securities Exchange Act of 1934. </w:t>
      </w:r>
    </w:p>
    <w:p w14:paraId="22B5DACF" w14:textId="0E094C0F" w:rsidR="3906D24F" w:rsidRDefault="3906D24F" w:rsidP="3906D24F">
      <w:pPr>
        <w:jc w:val="center"/>
      </w:pPr>
    </w:p>
    <w:p w14:paraId="18135A6C" w14:textId="581AACB6" w:rsidR="1FF99317" w:rsidRDefault="1FF99317" w:rsidP="3906D24F">
      <w:pPr>
        <w:jc w:val="center"/>
      </w:pPr>
      <w:r>
        <w:t xml:space="preserve">John </w:t>
      </w:r>
      <w:proofErr w:type="spellStart"/>
      <w:r>
        <w:t>Chevedden</w:t>
      </w:r>
      <w:proofErr w:type="spellEnd"/>
      <w:r>
        <w:t xml:space="preserve"> does not beneficially</w:t>
      </w:r>
    </w:p>
    <w:p w14:paraId="4ECCDB24" w14:textId="37CFDC49" w:rsidR="1FF99317" w:rsidRDefault="1FF99317" w:rsidP="3906D24F">
      <w:pPr>
        <w:jc w:val="center"/>
      </w:pPr>
      <w:r>
        <w:t>own more than $5 million of the class of subject securities, and this notice of</w:t>
      </w:r>
    </w:p>
    <w:p w14:paraId="705430CA" w14:textId="3C35C087" w:rsidR="1FF99317" w:rsidRDefault="1FF99317" w:rsidP="3906D24F">
      <w:pPr>
        <w:jc w:val="center"/>
      </w:pPr>
      <w:r>
        <w:t>exempt solicitation is therefore being provided on a voluntary basis.</w:t>
      </w:r>
    </w:p>
    <w:p w14:paraId="47814AC4" w14:textId="20132A39" w:rsidR="3906D24F" w:rsidRDefault="3906D24F" w:rsidP="3906D24F">
      <w:pPr>
        <w:jc w:val="center"/>
      </w:pPr>
    </w:p>
    <w:p w14:paraId="0E7699AD" w14:textId="61E4227A" w:rsidR="1FF99317" w:rsidRDefault="1FF99317" w:rsidP="3906D24F">
      <w:pPr>
        <w:jc w:val="center"/>
      </w:pPr>
      <w:r>
        <w:t>This is not a solicitation of authority to vote your proxy.</w:t>
      </w:r>
    </w:p>
    <w:p w14:paraId="0CE5C597" w14:textId="6A0ABF92" w:rsidR="1FF99317" w:rsidRDefault="1FF99317" w:rsidP="3906D24F">
      <w:pPr>
        <w:jc w:val="center"/>
      </w:pPr>
      <w:r>
        <w:t>Please DO NOT send me your proxy card; the shareholder is not able to vote your</w:t>
      </w:r>
    </w:p>
    <w:p w14:paraId="5E77B74B" w14:textId="1B2F7618" w:rsidR="1FF99317" w:rsidRDefault="1FF99317" w:rsidP="3906D24F">
      <w:pPr>
        <w:jc w:val="center"/>
      </w:pPr>
      <w:r>
        <w:t>proxies, nor does this communication contemplate such an event.</w:t>
      </w:r>
    </w:p>
    <w:p w14:paraId="1BC98F8D" w14:textId="707027B3" w:rsidR="3906D24F" w:rsidRDefault="3906D24F" w:rsidP="3906D24F">
      <w:pPr>
        <w:jc w:val="center"/>
      </w:pPr>
    </w:p>
    <w:p w14:paraId="2297D0B2" w14:textId="2015ECB3" w:rsidR="1FF99317" w:rsidRDefault="1FF99317" w:rsidP="3906D24F">
      <w:pPr>
        <w:jc w:val="center"/>
      </w:pPr>
      <w:r>
        <w:t>The shareholder asks all shareholders to vote by following the procedural</w:t>
      </w:r>
    </w:p>
    <w:p w14:paraId="095F11A1" w14:textId="313F3EE0" w:rsidR="1FF99317" w:rsidRDefault="1FF99317" w:rsidP="3906D24F">
      <w:pPr>
        <w:jc w:val="center"/>
      </w:pPr>
      <w:r>
        <w:t>instructions provided in the proxy materials.</w:t>
      </w:r>
    </w:p>
    <w:p w14:paraId="7C451B4E" w14:textId="1D020BFA" w:rsidR="3906D24F" w:rsidRDefault="3906D24F"/>
    <w:p w14:paraId="6C18BC59" w14:textId="0E8CD307" w:rsidR="3906D24F" w:rsidRDefault="3906D24F"/>
    <w:p w14:paraId="6A6024B3" w14:textId="5612F615" w:rsidR="3906D24F" w:rsidRDefault="3906D24F"/>
    <w:p w14:paraId="573934A1" w14:textId="4D92A3EA" w:rsidR="3906D24F" w:rsidRDefault="3906D24F"/>
    <w:p w14:paraId="41919607" w14:textId="0A8D8C47" w:rsidR="3906D24F" w:rsidRDefault="3906D24F"/>
    <w:p w14:paraId="20290F0D" w14:textId="077D0DE8" w:rsidR="3906D24F" w:rsidRDefault="3906D24F"/>
    <w:p w14:paraId="7ED06496" w14:textId="1D445FED" w:rsidR="3906D24F" w:rsidRDefault="3906D24F"/>
    <w:p w14:paraId="529557AB" w14:textId="3D9080E8" w:rsidR="3906D24F" w:rsidRDefault="3906D24F" w:rsidP="3906D24F"/>
    <w:p w14:paraId="5A5B978C" w14:textId="6AC92AA1" w:rsidR="75DA5C3F" w:rsidRDefault="75DA5C3F" w:rsidP="3906D24F">
      <w:r>
        <w:rPr>
          <w:noProof/>
        </w:rPr>
        <w:lastRenderedPageBreak/>
        <w:drawing>
          <wp:inline distT="0" distB="0" distL="0" distR="0" wp14:anchorId="2BE3A36C" wp14:editId="2A4F1C10">
            <wp:extent cx="5943600" cy="1190625"/>
            <wp:effectExtent l="0" t="0" r="0" b="0"/>
            <wp:docPr id="1158401978" name="Picture 115840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1190625"/>
                    </a:xfrm>
                    <a:prstGeom prst="rect">
                      <a:avLst/>
                    </a:prstGeom>
                  </pic:spPr>
                </pic:pic>
              </a:graphicData>
            </a:graphic>
          </wp:inline>
        </w:drawing>
      </w:r>
    </w:p>
    <w:p w14:paraId="0F59010B" w14:textId="24828E16" w:rsidR="3906D24F" w:rsidRDefault="3906D24F" w:rsidP="3906D24F"/>
    <w:p w14:paraId="66D143E4" w14:textId="2885466E" w:rsidR="003F2EBA" w:rsidRPr="003F2EBA" w:rsidRDefault="0CFD1811" w:rsidP="003F2EBA">
      <w:r>
        <w:t xml:space="preserve">April </w:t>
      </w:r>
      <w:r w:rsidR="636ADAF1">
        <w:t>10</w:t>
      </w:r>
      <w:r w:rsidR="003F2EBA">
        <w:t>, 202</w:t>
      </w:r>
      <w:r w:rsidR="00F425A4">
        <w:t>5</w:t>
      </w:r>
    </w:p>
    <w:p w14:paraId="05265F0B" w14:textId="77777777" w:rsidR="003F2EBA" w:rsidRPr="003F2EBA" w:rsidRDefault="003F2EBA" w:rsidP="003F2EBA"/>
    <w:p w14:paraId="2C18DAFA" w14:textId="317B2196" w:rsidR="003F2EBA" w:rsidRPr="003F2EBA" w:rsidRDefault="00F425A4" w:rsidP="003F2EBA">
      <w:pPr>
        <w:rPr>
          <w:b/>
        </w:rPr>
      </w:pPr>
      <w:r>
        <w:rPr>
          <w:b/>
        </w:rPr>
        <w:t>Mondelez International</w:t>
      </w:r>
    </w:p>
    <w:p w14:paraId="50956237" w14:textId="303B090F" w:rsidR="003F2EBA" w:rsidRPr="003F2EBA" w:rsidRDefault="003F2EBA" w:rsidP="3906D24F">
      <w:pPr>
        <w:rPr>
          <w:b/>
          <w:bCs/>
          <w:u w:val="single"/>
        </w:rPr>
      </w:pPr>
      <w:r w:rsidRPr="3906D24F">
        <w:rPr>
          <w:b/>
          <w:bCs/>
        </w:rPr>
        <w:t xml:space="preserve">Please Support </w:t>
      </w:r>
      <w:r w:rsidR="00F03C78" w:rsidRPr="3906D24F">
        <w:rPr>
          <w:b/>
          <w:bCs/>
          <w:u w:val="single"/>
        </w:rPr>
        <w:t>Item</w:t>
      </w:r>
      <w:r w:rsidRPr="3906D24F">
        <w:rPr>
          <w:b/>
          <w:bCs/>
          <w:u w:val="single"/>
        </w:rPr>
        <w:t xml:space="preserve"> #</w:t>
      </w:r>
      <w:r w:rsidR="72D5F64D" w:rsidRPr="3906D24F">
        <w:rPr>
          <w:b/>
          <w:bCs/>
          <w:u w:val="single"/>
        </w:rPr>
        <w:t>7</w:t>
      </w:r>
      <w:r w:rsidR="00C46953" w:rsidRPr="3906D24F">
        <w:rPr>
          <w:b/>
          <w:bCs/>
          <w:u w:val="single"/>
        </w:rPr>
        <w:t xml:space="preserve">: </w:t>
      </w:r>
      <w:r w:rsidR="7BC27883" w:rsidRPr="3906D24F">
        <w:rPr>
          <w:b/>
          <w:bCs/>
          <w:u w:val="single"/>
        </w:rPr>
        <w:t>Climate Lobbying Report</w:t>
      </w:r>
    </w:p>
    <w:p w14:paraId="0DE5B711" w14:textId="77777777" w:rsidR="003F2EBA" w:rsidRPr="003F2EBA" w:rsidRDefault="003F2EBA" w:rsidP="003F2EBA"/>
    <w:p w14:paraId="40ACCDE9" w14:textId="4EB10E45" w:rsidR="003F2EBA" w:rsidRPr="003F2EBA" w:rsidRDefault="003F2EBA" w:rsidP="003F2EBA">
      <w:r w:rsidRPr="003F2EBA">
        <w:t xml:space="preserve">To </w:t>
      </w:r>
      <w:r w:rsidR="00F425A4">
        <w:t>Mondelez International</w:t>
      </w:r>
      <w:r w:rsidR="00432AFB">
        <w:t xml:space="preserve"> Company</w:t>
      </w:r>
      <w:r w:rsidRPr="003F2EBA">
        <w:t xml:space="preserve"> Shareholders:</w:t>
      </w:r>
    </w:p>
    <w:p w14:paraId="4064291A" w14:textId="77777777" w:rsidR="003F2EBA" w:rsidRPr="003F2EBA" w:rsidRDefault="003F2EBA" w:rsidP="003F2EBA">
      <w:pPr>
        <w:rPr>
          <w:b/>
        </w:rPr>
      </w:pPr>
    </w:p>
    <w:p w14:paraId="5D89B2E5" w14:textId="0F315E54" w:rsidR="003F2EBA" w:rsidRPr="003F2EBA" w:rsidRDefault="11616A51" w:rsidP="003F2EBA">
      <w:r w:rsidRPr="3906D24F">
        <w:rPr>
          <w:b/>
          <w:bCs/>
        </w:rPr>
        <w:t>V</w:t>
      </w:r>
      <w:r w:rsidR="003F2EBA" w:rsidRPr="3906D24F">
        <w:rPr>
          <w:b/>
          <w:bCs/>
        </w:rPr>
        <w:t xml:space="preserve">ote FOR Item </w:t>
      </w:r>
      <w:r w:rsidR="17B09533" w:rsidRPr="3906D24F">
        <w:rPr>
          <w:b/>
          <w:bCs/>
        </w:rPr>
        <w:t>7</w:t>
      </w:r>
      <w:r w:rsidR="5ADFEB64" w:rsidRPr="3906D24F">
        <w:rPr>
          <w:b/>
          <w:bCs/>
        </w:rPr>
        <w:t xml:space="preserve"> </w:t>
      </w:r>
      <w:r w:rsidR="003F2EBA">
        <w:t xml:space="preserve">at the </w:t>
      </w:r>
      <w:r w:rsidR="00F425A4">
        <w:t xml:space="preserve">Mondelez International Company’s </w:t>
      </w:r>
      <w:r w:rsidR="003F2EBA">
        <w:t>(“</w:t>
      </w:r>
      <w:r w:rsidR="00F425A4">
        <w:t>Mondelez</w:t>
      </w:r>
      <w:r w:rsidR="007206B9">
        <w:t>”</w:t>
      </w:r>
      <w:r w:rsidR="003F2EBA">
        <w:t xml:space="preserve"> or</w:t>
      </w:r>
      <w:r w:rsidR="00E26FBC">
        <w:t xml:space="preserve"> “MDLZ” or</w:t>
      </w:r>
      <w:r w:rsidR="003F2EBA">
        <w:t xml:space="preserve"> </w:t>
      </w:r>
      <w:r w:rsidR="007206B9">
        <w:t>“</w:t>
      </w:r>
      <w:r w:rsidR="003F2EBA">
        <w:t xml:space="preserve">the Company”) shareholder meeting on </w:t>
      </w:r>
      <w:r w:rsidR="1D2E00FF">
        <w:t xml:space="preserve">May </w:t>
      </w:r>
      <w:r w:rsidR="560B07EE">
        <w:t>21</w:t>
      </w:r>
      <w:r w:rsidR="003F2EBA">
        <w:t>, 202</w:t>
      </w:r>
      <w:r w:rsidR="25D85F4C">
        <w:t>5</w:t>
      </w:r>
      <w:r w:rsidR="003F2EBA">
        <w:t xml:space="preserve">. </w:t>
      </w:r>
    </w:p>
    <w:p w14:paraId="09829092" w14:textId="77777777" w:rsidR="003F2EBA" w:rsidRPr="003F2EBA" w:rsidRDefault="003F2EBA" w:rsidP="003F2EBA"/>
    <w:p w14:paraId="70F0DA3F" w14:textId="73EFE037" w:rsidR="003F2EBA" w:rsidRPr="003F2EBA" w:rsidRDefault="003F2EBA" w:rsidP="003F2EBA">
      <w:pPr>
        <w:rPr>
          <w:b/>
        </w:rPr>
      </w:pPr>
      <w:r w:rsidRPr="003F2EBA">
        <w:rPr>
          <w:b/>
        </w:rPr>
        <w:t xml:space="preserve">The </w:t>
      </w:r>
      <w:r w:rsidR="00C175B4">
        <w:rPr>
          <w:b/>
        </w:rPr>
        <w:t>P</w:t>
      </w:r>
      <w:r w:rsidRPr="003F2EBA">
        <w:rPr>
          <w:b/>
        </w:rPr>
        <w:t>roposal</w:t>
      </w:r>
    </w:p>
    <w:p w14:paraId="62F19F57" w14:textId="0940A8B4" w:rsidR="003F2EBA" w:rsidRPr="003F2EBA" w:rsidRDefault="003F2EBA" w:rsidP="003F2EBA">
      <w:r>
        <w:t xml:space="preserve">The proposal asks </w:t>
      </w:r>
      <w:r w:rsidR="00F425A4">
        <w:t>Mondelez</w:t>
      </w:r>
      <w:r>
        <w:t xml:space="preserve"> to prepare an annual report on the alignment of its </w:t>
      </w:r>
      <w:r w:rsidR="005F16C7">
        <w:t xml:space="preserve">direct and indirect </w:t>
      </w:r>
      <w:r>
        <w:t xml:space="preserve">lobbying </w:t>
      </w:r>
      <w:r w:rsidR="005F16C7">
        <w:t>(</w:t>
      </w:r>
      <w:r>
        <w:t>through third parties – trade associations, social welfare organizations, and other nonprofits that conduct public policy advocacy on their behalf</w:t>
      </w:r>
      <w:r w:rsidR="005F16C7">
        <w:t>)</w:t>
      </w:r>
      <w:r>
        <w:t xml:space="preserve"> </w:t>
      </w:r>
      <w:r w:rsidR="005F16C7">
        <w:t>with</w:t>
      </w:r>
      <w:r>
        <w:t xml:space="preserve"> </w:t>
      </w:r>
      <w:r w:rsidR="00432AFB">
        <w:t>the Company’s commitment to achieve net zero emission</w:t>
      </w:r>
      <w:r w:rsidR="00F425A4">
        <w:t xml:space="preserve">s across </w:t>
      </w:r>
      <w:r w:rsidR="6789D09F">
        <w:t xml:space="preserve">its </w:t>
      </w:r>
      <w:r w:rsidR="00F425A4">
        <w:t>full value chain</w:t>
      </w:r>
      <w:r w:rsidR="00432AFB">
        <w:t xml:space="preserve"> by 20</w:t>
      </w:r>
      <w:r w:rsidR="00F425A4">
        <w:t>50</w:t>
      </w:r>
      <w:r w:rsidR="00D11172">
        <w:t>.</w:t>
      </w:r>
    </w:p>
    <w:p w14:paraId="6A7AC191" w14:textId="77777777" w:rsidR="003F2EBA" w:rsidRPr="003F2EBA" w:rsidRDefault="003F2EBA" w:rsidP="003F2EBA">
      <w:pPr>
        <w:rPr>
          <w:b/>
        </w:rPr>
      </w:pPr>
    </w:p>
    <w:tbl>
      <w:tblPr>
        <w:tblStyle w:val="TableGrid"/>
        <w:tblW w:w="0" w:type="auto"/>
        <w:tblLook w:val="04A0" w:firstRow="1" w:lastRow="0" w:firstColumn="1" w:lastColumn="0" w:noHBand="0" w:noVBand="1"/>
      </w:tblPr>
      <w:tblGrid>
        <w:gridCol w:w="9350"/>
      </w:tblGrid>
      <w:tr w:rsidR="003F2EBA" w:rsidRPr="003F2EBA" w14:paraId="6E7AF53A" w14:textId="77777777" w:rsidTr="00D20CF6">
        <w:tc>
          <w:tcPr>
            <w:tcW w:w="9350" w:type="dxa"/>
          </w:tcPr>
          <w:p w14:paraId="41DE11B5" w14:textId="77777777" w:rsidR="003F2EBA" w:rsidRDefault="003F2EBA" w:rsidP="003F2EBA">
            <w:r w:rsidRPr="003F2EBA">
              <w:rPr>
                <w:b/>
                <w:bCs/>
              </w:rPr>
              <w:t xml:space="preserve">RESOLVED: </w:t>
            </w:r>
            <w:r w:rsidR="00A41F14" w:rsidRPr="00A41F14">
              <w:t xml:space="preserve">Shareholders </w:t>
            </w:r>
            <w:r w:rsidR="00F425A4">
              <w:t>of Mondelez request that the Board of Directors prepare a report, updated annually, describing whether and how Mondelez aligns its lobbying and policy influence activities, both direct and indirect (through trade associations and other organizations), with its net zero by 2050 goal.</w:t>
            </w:r>
          </w:p>
          <w:p w14:paraId="3DA1C842" w14:textId="77777777" w:rsidR="00F425A4" w:rsidRDefault="00F425A4" w:rsidP="003F2EBA"/>
          <w:p w14:paraId="55A322CD" w14:textId="641A3799" w:rsidR="00F425A4" w:rsidRPr="00F03C78" w:rsidRDefault="00F425A4" w:rsidP="003F2EBA">
            <w:r>
              <w:t>Such disclosure, prepared at reasonable cost and excluding proprietary information, could at management’s discretion, describe the activities and positions analyzed, the criteria used to assess alignment, and external stakeholders consulted, if any.</w:t>
            </w:r>
          </w:p>
        </w:tc>
      </w:tr>
    </w:tbl>
    <w:p w14:paraId="2CDCB981" w14:textId="7BE8B182" w:rsidR="00230330" w:rsidRPr="00230330" w:rsidRDefault="00230330" w:rsidP="3906D24F"/>
    <w:p w14:paraId="7CF2FED9" w14:textId="22125C77" w:rsidR="3F7BA7AC" w:rsidRDefault="3F7BA7AC" w:rsidP="3906D24F">
      <w:r>
        <w:t xml:space="preserve">For the following reasons, I urge MDLZ shareholders to vote FOR proposal </w:t>
      </w:r>
      <w:r w:rsidR="1B3BCD47">
        <w:t>7</w:t>
      </w:r>
      <w:r>
        <w:t>:</w:t>
      </w:r>
    </w:p>
    <w:p w14:paraId="0E09C94D" w14:textId="77777777" w:rsidR="00D11172" w:rsidRDefault="00D11172" w:rsidP="00E52134"/>
    <w:p w14:paraId="207CF8D5" w14:textId="58560D70" w:rsidR="009E5BB5" w:rsidRPr="009E5BB5" w:rsidRDefault="00856A5D" w:rsidP="009E5BB5">
      <w:pPr>
        <w:pStyle w:val="ListParagraph"/>
        <w:numPr>
          <w:ilvl w:val="0"/>
          <w:numId w:val="8"/>
        </w:numPr>
      </w:pPr>
      <w:r>
        <w:t>Aiming to build a more sustainable snacking company that creates long-term value for</w:t>
      </w:r>
      <w:r w:rsidR="00E474C0">
        <w:t xml:space="preserve"> its</w:t>
      </w:r>
      <w:r>
        <w:t xml:space="preserve"> shareholders, </w:t>
      </w:r>
      <w:r w:rsidR="00D65D2D">
        <w:t xml:space="preserve">Mondelez </w:t>
      </w:r>
      <w:r>
        <w:t>has committed to a</w:t>
      </w:r>
      <w:r w:rsidR="00D65D2D">
        <w:t xml:space="preserve"> </w:t>
      </w:r>
      <w:r>
        <w:t>2050</w:t>
      </w:r>
      <w:r w:rsidR="00D65D2D">
        <w:t xml:space="preserve"> </w:t>
      </w:r>
      <w:r w:rsidR="00AA3314">
        <w:t>n</w:t>
      </w:r>
      <w:r w:rsidR="009E5BB5" w:rsidRPr="009E5BB5">
        <w:t xml:space="preserve">et </w:t>
      </w:r>
      <w:r w:rsidR="00AA3314">
        <w:t>z</w:t>
      </w:r>
      <w:r w:rsidR="009E5BB5" w:rsidRPr="009E5BB5">
        <w:t xml:space="preserve">ero </w:t>
      </w:r>
      <w:r w:rsidR="00AA3314">
        <w:t xml:space="preserve">greenhouse gas emissions </w:t>
      </w:r>
      <w:r>
        <w:t xml:space="preserve">target </w:t>
      </w:r>
      <w:r w:rsidR="00AA3314">
        <w:t>across its full value chain</w:t>
      </w:r>
      <w:r w:rsidR="00D65D2D">
        <w:t xml:space="preserve">. </w:t>
      </w:r>
      <w:r w:rsidR="6F25A59F">
        <w:t>The</w:t>
      </w:r>
      <w:r w:rsidR="00D65D2D">
        <w:t xml:space="preserve"> </w:t>
      </w:r>
      <w:r w:rsidR="6F25A59F">
        <w:t xml:space="preserve">company’s 2050 target </w:t>
      </w:r>
      <w:r w:rsidR="00D65D2D">
        <w:t xml:space="preserve">and </w:t>
      </w:r>
      <w:r w:rsidR="5D73F4F3">
        <w:t xml:space="preserve">its </w:t>
      </w:r>
      <w:r w:rsidR="00D65D2D">
        <w:t xml:space="preserve">near-term 2030 </w:t>
      </w:r>
      <w:r w:rsidR="00E474C0">
        <w:t xml:space="preserve">emissions </w:t>
      </w:r>
      <w:r w:rsidR="00D65D2D">
        <w:t>target</w:t>
      </w:r>
      <w:r w:rsidR="00AA3314">
        <w:t xml:space="preserve"> </w:t>
      </w:r>
      <w:r w:rsidR="603630F6">
        <w:t xml:space="preserve">have </w:t>
      </w:r>
      <w:r w:rsidR="00D65D2D">
        <w:t>received</w:t>
      </w:r>
      <w:r w:rsidR="009E5BB5" w:rsidRPr="009E5BB5">
        <w:t xml:space="preserve"> </w:t>
      </w:r>
      <w:r w:rsidR="00D65D2D">
        <w:t xml:space="preserve">validation from </w:t>
      </w:r>
      <w:r w:rsidR="009E5BB5" w:rsidRPr="009E5BB5">
        <w:t>the Science Based Targets Initiative (SBTi)</w:t>
      </w:r>
      <w:r w:rsidR="00AA3314">
        <w:t>.</w:t>
      </w:r>
      <w:r w:rsidR="009E5BB5">
        <w:rPr>
          <w:rStyle w:val="FootnoteReference"/>
        </w:rPr>
        <w:footnoteReference w:id="1"/>
      </w:r>
      <w:r w:rsidR="009E5BB5" w:rsidRPr="009E5BB5">
        <w:t xml:space="preserve"> </w:t>
      </w:r>
    </w:p>
    <w:p w14:paraId="69624329" w14:textId="7A376B71" w:rsidR="00D11172" w:rsidRDefault="0FD0FCDD" w:rsidP="00D11172">
      <w:pPr>
        <w:pStyle w:val="ListParagraph"/>
        <w:numPr>
          <w:ilvl w:val="0"/>
          <w:numId w:val="8"/>
        </w:numPr>
      </w:pPr>
      <w:r>
        <w:lastRenderedPageBreak/>
        <w:t xml:space="preserve">However, </w:t>
      </w:r>
      <w:r w:rsidR="00EB45EE">
        <w:t xml:space="preserve">Mondelez has </w:t>
      </w:r>
      <w:r w:rsidR="6C880C19">
        <w:t xml:space="preserve">acknowledged </w:t>
      </w:r>
      <w:r w:rsidR="00EB45EE">
        <w:t xml:space="preserve">that </w:t>
      </w:r>
      <w:r w:rsidR="009E5BB5" w:rsidRPr="00AA3314">
        <w:rPr>
          <w:b/>
          <w:bCs/>
        </w:rPr>
        <w:t>achieving its net zero greenhouse gas emissions by 2050 goal will require a significant transformation of its business, capital investment, and the development of technologies that might not currently exist</w:t>
      </w:r>
      <w:r w:rsidR="009E5BB5">
        <w:t>.</w:t>
      </w:r>
      <w:r w:rsidR="009E5BB5">
        <w:rPr>
          <w:rStyle w:val="FootnoteReference"/>
        </w:rPr>
        <w:footnoteReference w:id="2"/>
      </w:r>
    </w:p>
    <w:p w14:paraId="38EF9532" w14:textId="2D40855D" w:rsidR="00AA3314" w:rsidRDefault="58CCE9CF" w:rsidP="00AA3314">
      <w:pPr>
        <w:pStyle w:val="ListParagraph"/>
        <w:numPr>
          <w:ilvl w:val="0"/>
          <w:numId w:val="8"/>
        </w:numPr>
      </w:pPr>
      <w:r w:rsidRPr="3906D24F">
        <w:rPr>
          <w:b/>
          <w:bCs/>
        </w:rPr>
        <w:t>T</w:t>
      </w:r>
      <w:r w:rsidR="00AA3314" w:rsidRPr="3906D24F">
        <w:rPr>
          <w:b/>
          <w:bCs/>
        </w:rPr>
        <w:t xml:space="preserve">he company’s </w:t>
      </w:r>
      <w:r w:rsidR="001D586C" w:rsidRPr="3906D24F">
        <w:rPr>
          <w:b/>
          <w:bCs/>
        </w:rPr>
        <w:t xml:space="preserve">existing </w:t>
      </w:r>
      <w:r w:rsidR="00AA3314" w:rsidRPr="3906D24F">
        <w:rPr>
          <w:b/>
          <w:bCs/>
        </w:rPr>
        <w:t xml:space="preserve">disclosure </w:t>
      </w:r>
      <w:r w:rsidR="00EC27F8" w:rsidRPr="3906D24F">
        <w:rPr>
          <w:b/>
          <w:bCs/>
        </w:rPr>
        <w:t>of</w:t>
      </w:r>
      <w:r w:rsidR="00AA3314" w:rsidRPr="3906D24F">
        <w:rPr>
          <w:b/>
          <w:bCs/>
        </w:rPr>
        <w:t xml:space="preserve"> its lobbying and policy influence activities </w:t>
      </w:r>
      <w:r w:rsidR="00E26FBC" w:rsidRPr="3906D24F">
        <w:rPr>
          <w:b/>
          <w:bCs/>
        </w:rPr>
        <w:t>falls</w:t>
      </w:r>
      <w:r w:rsidR="00AA3314" w:rsidRPr="3906D24F">
        <w:rPr>
          <w:b/>
          <w:bCs/>
        </w:rPr>
        <w:t xml:space="preserve"> short of the proposal’s request</w:t>
      </w:r>
      <w:r w:rsidR="00E26FBC" w:rsidRPr="3906D24F">
        <w:rPr>
          <w:b/>
          <w:bCs/>
        </w:rPr>
        <w:t xml:space="preserve">. </w:t>
      </w:r>
      <w:r w:rsidR="00E26FBC">
        <w:t xml:space="preserve">By responding to the proposal and </w:t>
      </w:r>
      <w:r w:rsidR="00390730">
        <w:t>disclosing how</w:t>
      </w:r>
      <w:r w:rsidR="18354041">
        <w:t xml:space="preserve"> </w:t>
      </w:r>
      <w:r w:rsidR="00E26FBC">
        <w:t xml:space="preserve">lobbying and </w:t>
      </w:r>
      <w:r w:rsidR="6CCE13D3">
        <w:t xml:space="preserve">policy </w:t>
      </w:r>
      <w:r w:rsidR="00E26FBC">
        <w:t>influence activities</w:t>
      </w:r>
      <w:r w:rsidR="49829458">
        <w:t xml:space="preserve"> are evaluated</w:t>
      </w:r>
      <w:r w:rsidR="00E26FBC">
        <w:t xml:space="preserve">, MDLZ can demonstrate that it has a consistent lobbying strategy across the markets it operates in </w:t>
      </w:r>
      <w:r w:rsidR="00390730">
        <w:t xml:space="preserve">that aims to support the company’s ability to </w:t>
      </w:r>
      <w:r w:rsidR="15E0F310">
        <w:t xml:space="preserve">profitably meet </w:t>
      </w:r>
      <w:r w:rsidR="00390730">
        <w:t>its</w:t>
      </w:r>
      <w:r w:rsidR="00E26FBC">
        <w:t xml:space="preserve"> net zero by 2050 goal</w:t>
      </w:r>
      <w:r w:rsidR="447EE4E1">
        <w:t xml:space="preserve"> and avoid any reputational risk</w:t>
      </w:r>
      <w:r w:rsidR="728F8976">
        <w:t>s that could arise</w:t>
      </w:r>
      <w:r w:rsidR="447EE4E1">
        <w:t xml:space="preserve"> from misaligned activities</w:t>
      </w:r>
      <w:r w:rsidR="00390730">
        <w:t>.</w:t>
      </w:r>
    </w:p>
    <w:p w14:paraId="36AA8C2F" w14:textId="457AFEA2" w:rsidR="00254007" w:rsidRPr="00AA3314" w:rsidRDefault="00254007" w:rsidP="00AA3314">
      <w:pPr>
        <w:pStyle w:val="ListParagraph"/>
        <w:numPr>
          <w:ilvl w:val="0"/>
          <w:numId w:val="8"/>
        </w:numPr>
      </w:pPr>
      <w:r w:rsidRPr="00254007">
        <w:rPr>
          <w:b/>
          <w:bCs/>
        </w:rPr>
        <w:t>MDLZ’ direct lobbying expenditures</w:t>
      </w:r>
      <w:r w:rsidR="00B23FD3">
        <w:rPr>
          <w:b/>
          <w:bCs/>
        </w:rPr>
        <w:t xml:space="preserve"> r</w:t>
      </w:r>
      <w:r w:rsidRPr="00254007">
        <w:rPr>
          <w:b/>
          <w:bCs/>
        </w:rPr>
        <w:t>eflect that it has spent approximately $9 million on</w:t>
      </w:r>
      <w:r w:rsidR="00B23FD3">
        <w:rPr>
          <w:b/>
          <w:bCs/>
        </w:rPr>
        <w:t xml:space="preserve"> U.S.</w:t>
      </w:r>
      <w:r w:rsidRPr="00254007">
        <w:rPr>
          <w:b/>
          <w:bCs/>
        </w:rPr>
        <w:t xml:space="preserve"> federal lobbying since 2014</w:t>
      </w:r>
      <w:r>
        <w:t>.</w:t>
      </w:r>
      <w:r>
        <w:rPr>
          <w:rStyle w:val="FootnoteReference"/>
        </w:rPr>
        <w:footnoteReference w:id="3"/>
      </w:r>
      <w:r>
        <w:t xml:space="preserve"> This does not include </w:t>
      </w:r>
      <w:r w:rsidR="00E474C0">
        <w:t>state-level lobbying expenditures</w:t>
      </w:r>
      <w:r w:rsidR="2B7586BA">
        <w:t>, of which disclosure is uneven or absent,</w:t>
      </w:r>
      <w:r w:rsidR="00E474C0">
        <w:t xml:space="preserve"> or </w:t>
      </w:r>
      <w:r>
        <w:t>the company’s dues or payments to trade associations that go towards lobbying</w:t>
      </w:r>
      <w:r w:rsidR="00B23FD3">
        <w:t>.</w:t>
      </w:r>
    </w:p>
    <w:p w14:paraId="2C1651C1" w14:textId="29F63905" w:rsidR="00D11172" w:rsidRPr="00C016E0" w:rsidRDefault="00E474C0" w:rsidP="00D11172">
      <w:pPr>
        <w:pStyle w:val="ListParagraph"/>
        <w:numPr>
          <w:ilvl w:val="0"/>
          <w:numId w:val="8"/>
        </w:numPr>
      </w:pPr>
      <w:r w:rsidRPr="00A72101">
        <w:rPr>
          <w:b/>
          <w:bCs/>
        </w:rPr>
        <w:t xml:space="preserve">Mondelez understands that climate change may adversely impact its operations </w:t>
      </w:r>
      <w:r>
        <w:t>and has acknowledged that cocoa</w:t>
      </w:r>
      <w:r w:rsidR="00CD5EBF" w:rsidRPr="00C016E0">
        <w:t xml:space="preserve">, which is </w:t>
      </w:r>
      <w:r w:rsidR="00C016E0" w:rsidRPr="00C016E0">
        <w:t xml:space="preserve">a </w:t>
      </w:r>
      <w:r w:rsidR="00CD5EBF" w:rsidRPr="00C016E0">
        <w:t xml:space="preserve">critical raw material for </w:t>
      </w:r>
      <w:r w:rsidR="00B23FD3">
        <w:t xml:space="preserve">MDLZ’s </w:t>
      </w:r>
      <w:r w:rsidR="00CD5EBF" w:rsidRPr="00C016E0">
        <w:t>chocolate, biscuits</w:t>
      </w:r>
      <w:r w:rsidR="00C016E0" w:rsidRPr="00C016E0">
        <w:t xml:space="preserve">, and </w:t>
      </w:r>
      <w:r w:rsidR="00CD5EBF" w:rsidRPr="00C016E0">
        <w:t>baked snacks portfolio</w:t>
      </w:r>
      <w:r w:rsidR="00C016E0" w:rsidRPr="00C016E0">
        <w:t xml:space="preserve"> </w:t>
      </w:r>
      <w:r w:rsidR="00B409FE">
        <w:t>that</w:t>
      </w:r>
      <w:r w:rsidR="00C016E0" w:rsidRPr="00C016E0">
        <w:t xml:space="preserve"> represents approximately 80% of the company’s net revenue, </w:t>
      </w:r>
      <w:r>
        <w:t>is</w:t>
      </w:r>
      <w:r w:rsidR="00CD5EBF" w:rsidRPr="00C016E0">
        <w:t xml:space="preserve"> particularly sensitive to changes in climate</w:t>
      </w:r>
      <w:r w:rsidR="00C016E0" w:rsidRPr="00C016E0">
        <w:t>.</w:t>
      </w:r>
      <w:r w:rsidR="00B409FE">
        <w:rPr>
          <w:rStyle w:val="FootnoteReference"/>
        </w:rPr>
        <w:footnoteReference w:id="4"/>
      </w:r>
    </w:p>
    <w:p w14:paraId="17D0D492" w14:textId="630C0774" w:rsidR="00230330" w:rsidRDefault="00C016E0" w:rsidP="00D11172">
      <w:pPr>
        <w:pStyle w:val="ListParagraph"/>
        <w:numPr>
          <w:ilvl w:val="0"/>
          <w:numId w:val="8"/>
        </w:numPr>
      </w:pPr>
      <w:r>
        <w:t xml:space="preserve">In </w:t>
      </w:r>
      <w:r w:rsidRPr="3906D24F">
        <w:rPr>
          <w:b/>
          <w:bCs/>
        </w:rPr>
        <w:t>complying with the</w:t>
      </w:r>
      <w:r w:rsidR="00CD5EBF" w:rsidRPr="3906D24F">
        <w:rPr>
          <w:b/>
          <w:bCs/>
        </w:rPr>
        <w:t xml:space="preserve"> EU’s </w:t>
      </w:r>
      <w:r w:rsidRPr="3906D24F">
        <w:rPr>
          <w:b/>
          <w:bCs/>
        </w:rPr>
        <w:t>Corporate Sustainability Reporting Directive (</w:t>
      </w:r>
      <w:r w:rsidR="00CD5EBF" w:rsidRPr="3906D24F">
        <w:rPr>
          <w:b/>
          <w:bCs/>
        </w:rPr>
        <w:t>CSRD</w:t>
      </w:r>
      <w:r w:rsidRPr="3906D24F">
        <w:rPr>
          <w:b/>
          <w:bCs/>
        </w:rPr>
        <w:t>)</w:t>
      </w:r>
      <w:r>
        <w:t>,</w:t>
      </w:r>
      <w:r w:rsidR="002C01FB">
        <w:t xml:space="preserve"> likely by the year 2028,</w:t>
      </w:r>
      <w:r>
        <w:t xml:space="preserve"> Mondelez will be required to disclose</w:t>
      </w:r>
      <w:r w:rsidR="00261746">
        <w:t xml:space="preserve">, </w:t>
      </w:r>
      <w:r w:rsidR="00B409FE">
        <w:t>with limited assurance</w:t>
      </w:r>
      <w:r w:rsidR="00261746">
        <w:t xml:space="preserve">, </w:t>
      </w:r>
      <w:r>
        <w:t xml:space="preserve">whether its lobbying efforts align with </w:t>
      </w:r>
      <w:r w:rsidR="1B595611">
        <w:t>its</w:t>
      </w:r>
      <w:r>
        <w:t xml:space="preserve"> publicly stated sustainability and climate commitments</w:t>
      </w:r>
      <w:r w:rsidR="00B409FE">
        <w:t>.</w:t>
      </w:r>
    </w:p>
    <w:p w14:paraId="47350725" w14:textId="34CD7641" w:rsidR="00261746" w:rsidRDefault="00261746" w:rsidP="00D11172">
      <w:pPr>
        <w:pStyle w:val="ListParagraph"/>
        <w:numPr>
          <w:ilvl w:val="0"/>
          <w:numId w:val="8"/>
        </w:numPr>
      </w:pPr>
      <w:r w:rsidRPr="3906D24F">
        <w:rPr>
          <w:b/>
          <w:bCs/>
        </w:rPr>
        <w:t xml:space="preserve">Mondelez </w:t>
      </w:r>
      <w:r w:rsidR="00A72101" w:rsidRPr="3906D24F">
        <w:rPr>
          <w:b/>
          <w:bCs/>
        </w:rPr>
        <w:t>has fallen behind peers</w:t>
      </w:r>
      <w:r>
        <w:t>, such as Unilever</w:t>
      </w:r>
      <w:r w:rsidR="002C01FB">
        <w:t xml:space="preserve"> and General Mills,</w:t>
      </w:r>
      <w:r>
        <w:t xml:space="preserve"> </w:t>
      </w:r>
      <w:r w:rsidR="2F12C9E8">
        <w:t xml:space="preserve">which </w:t>
      </w:r>
      <w:r w:rsidR="00A72101">
        <w:t>are</w:t>
      </w:r>
      <w:r w:rsidR="2E939F16">
        <w:t xml:space="preserve"> already</w:t>
      </w:r>
      <w:r w:rsidR="00A72101">
        <w:t xml:space="preserve"> providing shareholders with much more transparency about their climate-related public policy priorities and how these align with their strategic sustainability and climate-related goals.  </w:t>
      </w:r>
    </w:p>
    <w:p w14:paraId="23C3F5E5" w14:textId="77777777" w:rsidR="00230330" w:rsidRDefault="00230330" w:rsidP="00E52134"/>
    <w:p w14:paraId="70616E32" w14:textId="146C561F" w:rsidR="00A72101" w:rsidRDefault="00A72101" w:rsidP="00A72101">
      <w:pPr>
        <w:spacing w:line="259" w:lineRule="auto"/>
      </w:pPr>
      <w:r>
        <w:t>To summariz</w:t>
      </w:r>
      <w:r w:rsidR="00102D8D">
        <w:t>e</w:t>
      </w:r>
      <w:r>
        <w:t xml:space="preserve">, </w:t>
      </w:r>
      <w:r w:rsidR="00102D8D">
        <w:t>the analysis and reporting of</w:t>
      </w:r>
      <w:r>
        <w:t xml:space="preserve"> MDLZ’s lobbying activities compared to its climate</w:t>
      </w:r>
      <w:r w:rsidR="00102D8D">
        <w:t>-related</w:t>
      </w:r>
      <w:r>
        <w:t xml:space="preserve"> goals will:</w:t>
      </w:r>
    </w:p>
    <w:p w14:paraId="03C8FDE5" w14:textId="77777777" w:rsidR="00A72101" w:rsidRDefault="00A72101" w:rsidP="00A72101">
      <w:pPr>
        <w:spacing w:line="259" w:lineRule="auto"/>
      </w:pPr>
    </w:p>
    <w:p w14:paraId="6B3DF53D" w14:textId="722238A3" w:rsidR="00102D8D" w:rsidRDefault="00A72101" w:rsidP="00A72101">
      <w:pPr>
        <w:pStyle w:val="ListParagraph"/>
        <w:numPr>
          <w:ilvl w:val="0"/>
          <w:numId w:val="9"/>
        </w:numPr>
        <w:spacing w:line="259" w:lineRule="auto"/>
      </w:pPr>
      <w:r>
        <w:t xml:space="preserve">Provide additional information </w:t>
      </w:r>
      <w:r w:rsidR="00102D8D">
        <w:t>for</w:t>
      </w:r>
      <w:r>
        <w:t xml:space="preserve"> investors to better assess whether the company’s policy influence activities are optimizing </w:t>
      </w:r>
      <w:r w:rsidR="00102D8D">
        <w:t>the use of</w:t>
      </w:r>
      <w:r>
        <w:t xml:space="preserve"> </w:t>
      </w:r>
      <w:r w:rsidR="42F8C727">
        <w:t>corporate</w:t>
      </w:r>
      <w:r>
        <w:t xml:space="preserve"> expenditures in furtherance of </w:t>
      </w:r>
      <w:r w:rsidR="00102D8D">
        <w:t>the company’s</w:t>
      </w:r>
      <w:r>
        <w:t xml:space="preserve"> emissions reduction targets and</w:t>
      </w:r>
      <w:r w:rsidR="00102D8D">
        <w:t xml:space="preserve"> </w:t>
      </w:r>
      <w:r w:rsidR="32D3483D">
        <w:t xml:space="preserve">its </w:t>
      </w:r>
      <w:r w:rsidR="78457A08">
        <w:t>commitment to build a more sustainable snacking company</w:t>
      </w:r>
      <w:r w:rsidRPr="3906D24F">
        <w:rPr>
          <w:rStyle w:val="FootnoteReference"/>
        </w:rPr>
        <w:footnoteReference w:id="5"/>
      </w:r>
      <w:r w:rsidR="008D5CB8">
        <w:t>.</w:t>
      </w:r>
    </w:p>
    <w:p w14:paraId="07FAB93F" w14:textId="6B633560" w:rsidR="008D5CB8" w:rsidRDefault="00A72101" w:rsidP="00A72101">
      <w:pPr>
        <w:pStyle w:val="ListParagraph"/>
        <w:numPr>
          <w:ilvl w:val="0"/>
          <w:numId w:val="9"/>
        </w:numPr>
        <w:spacing w:line="259" w:lineRule="auto"/>
      </w:pPr>
      <w:r>
        <w:lastRenderedPageBreak/>
        <w:t>Enhance long-term shareholder</w:t>
      </w:r>
      <w:r w:rsidR="00102D8D">
        <w:t xml:space="preserve"> value</w:t>
      </w:r>
      <w:r>
        <w:t xml:space="preserve"> by </w:t>
      </w:r>
      <w:r w:rsidR="321126F4">
        <w:t>contributing to the fulfilment of the company’s s</w:t>
      </w:r>
      <w:r w:rsidR="3755714A">
        <w:t>nacking made right</w:t>
      </w:r>
      <w:r w:rsidR="321126F4">
        <w:t xml:space="preserve"> strategy</w:t>
      </w:r>
      <w:r w:rsidR="5FEF05E7">
        <w:t xml:space="preserve"> and by</w:t>
      </w:r>
      <w:r w:rsidR="321126F4">
        <w:t xml:space="preserve"> </w:t>
      </w:r>
      <w:r>
        <w:t>mitigatin</w:t>
      </w:r>
      <w:r w:rsidR="008D5CB8">
        <w:t>g the</w:t>
      </w:r>
      <w:r w:rsidR="00102D8D">
        <w:t xml:space="preserve"> </w:t>
      </w:r>
      <w:r>
        <w:t>reputational risks</w:t>
      </w:r>
      <w:r w:rsidR="00102D8D">
        <w:t xml:space="preserve"> that could arise from misaligned policy influence activities</w:t>
      </w:r>
      <w:r w:rsidR="7218E782">
        <w:t xml:space="preserve"> or </w:t>
      </w:r>
      <w:r w:rsidR="00102D8D">
        <w:t>from the inefficient use of corporate funds</w:t>
      </w:r>
      <w:r>
        <w:t>.</w:t>
      </w:r>
    </w:p>
    <w:p w14:paraId="20EE924E" w14:textId="3A4C97F4" w:rsidR="00A72101" w:rsidRPr="00A72101" w:rsidRDefault="008D5CB8" w:rsidP="00A72101">
      <w:pPr>
        <w:pStyle w:val="ListParagraph"/>
        <w:numPr>
          <w:ilvl w:val="0"/>
          <w:numId w:val="9"/>
        </w:numPr>
        <w:spacing w:line="259" w:lineRule="auto"/>
      </w:pPr>
      <w:r>
        <w:t xml:space="preserve">More clearly </w:t>
      </w:r>
      <w:r w:rsidR="085A0E99">
        <w:t>convey</w:t>
      </w:r>
      <w:r w:rsidR="00A72101">
        <w:t xml:space="preserve"> the </w:t>
      </w:r>
      <w:r>
        <w:t>company’s</w:t>
      </w:r>
      <w:r w:rsidR="00A72101">
        <w:t xml:space="preserve"> climate</w:t>
      </w:r>
      <w:r>
        <w:t>-related</w:t>
      </w:r>
      <w:r w:rsidR="00A72101">
        <w:t xml:space="preserve"> policy priorities to decision makers and regulators</w:t>
      </w:r>
      <w:r w:rsidR="128F02F9">
        <w:t xml:space="preserve"> which enhances the company’s ability to profitably meet its </w:t>
      </w:r>
      <w:r w:rsidR="4097D801">
        <w:t>commitment to achieve net zero emissions across its full value chain by 2050</w:t>
      </w:r>
      <w:r w:rsidR="00A72101">
        <w:t>.</w:t>
      </w:r>
    </w:p>
    <w:p w14:paraId="22E79E83" w14:textId="77777777" w:rsidR="00A72101" w:rsidRDefault="00A72101" w:rsidP="189E8366">
      <w:pPr>
        <w:spacing w:line="259" w:lineRule="auto"/>
        <w:rPr>
          <w:highlight w:val="yellow"/>
        </w:rPr>
      </w:pPr>
    </w:p>
    <w:p w14:paraId="5E6D44C0" w14:textId="3DBD7ABA" w:rsidR="008D5CB8" w:rsidRDefault="008D5CB8" w:rsidP="189E8366">
      <w:pPr>
        <w:spacing w:line="259" w:lineRule="auto"/>
      </w:pPr>
      <w:r>
        <w:t xml:space="preserve">In addition, the proposal does not require nor suggest that Mondelez terminate its membership in trade associations, but rather that the company </w:t>
      </w:r>
      <w:r w:rsidR="14368157">
        <w:t xml:space="preserve">simply </w:t>
      </w:r>
      <w:r w:rsidR="434EE12E">
        <w:t xml:space="preserve">consider </w:t>
      </w:r>
      <w:r>
        <w:t>highlight</w:t>
      </w:r>
      <w:r w:rsidR="3C40F968">
        <w:t>ing</w:t>
      </w:r>
      <w:r>
        <w:t xml:space="preserve"> </w:t>
      </w:r>
      <w:r w:rsidR="753FA816">
        <w:t xml:space="preserve">the </w:t>
      </w:r>
      <w:r>
        <w:t>policy influence activities</w:t>
      </w:r>
      <w:r w:rsidR="5D17A2AA">
        <w:t xml:space="preserve"> conducted </w:t>
      </w:r>
      <w:r w:rsidR="7707A218">
        <w:t>by</w:t>
      </w:r>
      <w:r w:rsidR="5D17A2AA">
        <w:t xml:space="preserve"> trade associations </w:t>
      </w:r>
      <w:r w:rsidR="542B4024">
        <w:t xml:space="preserve">that </w:t>
      </w:r>
      <w:r w:rsidR="5D17A2AA">
        <w:t>MDLZ belongs to</w:t>
      </w:r>
      <w:r>
        <w:t xml:space="preserve"> </w:t>
      </w:r>
      <w:r w:rsidR="3A219C5D">
        <w:t xml:space="preserve">which </w:t>
      </w:r>
      <w:r>
        <w:t>may be misaligned with the company’s strategy.</w:t>
      </w:r>
    </w:p>
    <w:p w14:paraId="4E36BE65" w14:textId="1C0666C1" w:rsidR="3906D24F" w:rsidRDefault="3906D24F" w:rsidP="3906D24F">
      <w:pPr>
        <w:spacing w:line="259" w:lineRule="auto"/>
      </w:pPr>
    </w:p>
    <w:p w14:paraId="31EEB8A0" w14:textId="77777777" w:rsidR="008D5CB8" w:rsidRDefault="008D5CB8" w:rsidP="189E8366">
      <w:pPr>
        <w:spacing w:line="259" w:lineRule="auto"/>
        <w:rPr>
          <w:b/>
          <w:bCs/>
        </w:rPr>
      </w:pPr>
    </w:p>
    <w:p w14:paraId="32711025" w14:textId="5AA89550" w:rsidR="008D5CB8" w:rsidRDefault="008D5CB8" w:rsidP="189E8366">
      <w:pPr>
        <w:spacing w:line="259" w:lineRule="auto"/>
        <w:rPr>
          <w:b/>
          <w:bCs/>
        </w:rPr>
      </w:pPr>
      <w:r>
        <w:rPr>
          <w:b/>
          <w:bCs/>
        </w:rPr>
        <w:t>Analysis</w:t>
      </w:r>
    </w:p>
    <w:p w14:paraId="005620D7" w14:textId="77777777" w:rsidR="0033031A" w:rsidRDefault="0033031A" w:rsidP="189E8366">
      <w:pPr>
        <w:spacing w:line="259" w:lineRule="auto"/>
        <w:rPr>
          <w:b/>
          <w:bCs/>
        </w:rPr>
      </w:pPr>
    </w:p>
    <w:p w14:paraId="40FC4FFA" w14:textId="45DAF7ED" w:rsidR="008D5CB8" w:rsidRDefault="5DD5BFE1" w:rsidP="008D5CB8">
      <w:pPr>
        <w:pStyle w:val="ListParagraph"/>
        <w:numPr>
          <w:ilvl w:val="0"/>
          <w:numId w:val="10"/>
        </w:numPr>
        <w:spacing w:line="259" w:lineRule="auto"/>
        <w:rPr>
          <w:b/>
          <w:bCs/>
        </w:rPr>
      </w:pPr>
      <w:r w:rsidRPr="3906D24F">
        <w:rPr>
          <w:b/>
          <w:bCs/>
        </w:rPr>
        <w:t xml:space="preserve">Changes in climate-related public policy </w:t>
      </w:r>
      <w:r w:rsidR="009FB8F3" w:rsidRPr="3906D24F">
        <w:rPr>
          <w:b/>
          <w:bCs/>
        </w:rPr>
        <w:t>will likel</w:t>
      </w:r>
      <w:r w:rsidRPr="3906D24F">
        <w:rPr>
          <w:b/>
          <w:bCs/>
        </w:rPr>
        <w:t>y have an impact on</w:t>
      </w:r>
      <w:r w:rsidR="008D5CB8" w:rsidRPr="3906D24F">
        <w:rPr>
          <w:b/>
          <w:bCs/>
        </w:rPr>
        <w:t xml:space="preserve"> </w:t>
      </w:r>
      <w:r w:rsidR="7F7C90F4" w:rsidRPr="3906D24F">
        <w:rPr>
          <w:b/>
          <w:bCs/>
        </w:rPr>
        <w:t xml:space="preserve">MDLZ’s </w:t>
      </w:r>
      <w:r w:rsidR="008D5CB8" w:rsidRPr="3906D24F">
        <w:rPr>
          <w:b/>
          <w:bCs/>
        </w:rPr>
        <w:t>ability to meet its climate-related goals and deliver on its sustainable and mindful snacking strategy.</w:t>
      </w:r>
    </w:p>
    <w:p w14:paraId="534AD7E9" w14:textId="77777777" w:rsidR="008D5CB8" w:rsidRDefault="008D5CB8" w:rsidP="008D5CB8">
      <w:pPr>
        <w:spacing w:line="259" w:lineRule="auto"/>
        <w:rPr>
          <w:b/>
          <w:bCs/>
        </w:rPr>
      </w:pPr>
    </w:p>
    <w:p w14:paraId="2F84279B" w14:textId="304B4AE3" w:rsidR="008D5CB8" w:rsidRPr="0033031A" w:rsidRDefault="00E25B72" w:rsidP="008D5CB8">
      <w:pPr>
        <w:spacing w:line="259" w:lineRule="auto"/>
      </w:pPr>
      <w:r>
        <w:t>The U.S. Government’s interagency Fifth National Climate Assessment state</w:t>
      </w:r>
      <w:r w:rsidR="004E0DE4">
        <w:t>s</w:t>
      </w:r>
      <w:r>
        <w:t xml:space="preserve"> that climate change has increased agricultural production risks by disrupting growing zones and growing days</w:t>
      </w:r>
      <w:r w:rsidR="004E0DE4">
        <w:t xml:space="preserve"> and that </w:t>
      </w:r>
      <w:r>
        <w:t>disruptions to food systems and supply chains within them are expected to increase</w:t>
      </w:r>
      <w:r w:rsidR="004E0DE4">
        <w:t>. The report also states that these disruptions are</w:t>
      </w:r>
      <w:r>
        <w:t xml:space="preserve"> </w:t>
      </w:r>
      <w:r w:rsidR="004E0DE4">
        <w:t>projected to make</w:t>
      </w:r>
      <w:r>
        <w:t xml:space="preserve"> some food items more expensive and less accessible.</w:t>
      </w:r>
      <w:r>
        <w:rPr>
          <w:rStyle w:val="FootnoteReference"/>
        </w:rPr>
        <w:footnoteReference w:id="6"/>
      </w:r>
      <w:r>
        <w:t xml:space="preserve"> </w:t>
      </w:r>
    </w:p>
    <w:p w14:paraId="6646F9CC" w14:textId="3261FBD8" w:rsidR="00A72101" w:rsidRDefault="00A72101" w:rsidP="189E8366">
      <w:pPr>
        <w:spacing w:line="259" w:lineRule="auto"/>
      </w:pPr>
    </w:p>
    <w:p w14:paraId="37A6C724" w14:textId="51AF7024" w:rsidR="00A72101" w:rsidRDefault="15FB85E8" w:rsidP="189E8366">
      <w:pPr>
        <w:spacing w:line="259" w:lineRule="auto"/>
      </w:pPr>
      <w:r>
        <w:t xml:space="preserve">In response to this threat, Mondelez has set 2030 and 2050 GHG emissions reduction targets and </w:t>
      </w:r>
      <w:r w:rsidR="2AFFBC22">
        <w:t xml:space="preserve">acknowledged the three primary drivers of </w:t>
      </w:r>
      <w:r w:rsidR="5DF0FC31">
        <w:t>its</w:t>
      </w:r>
      <w:r w:rsidR="71172AF4">
        <w:t xml:space="preserve"> </w:t>
      </w:r>
      <w:r w:rsidR="2AFFBC22">
        <w:t xml:space="preserve">carbon </w:t>
      </w:r>
      <w:r w:rsidR="3F81A1C7">
        <w:t>emissions</w:t>
      </w:r>
      <w:r w:rsidR="2AFFBC22">
        <w:t>: land-use</w:t>
      </w:r>
      <w:r w:rsidR="349069FC">
        <w:t xml:space="preserve"> change (including deforestation), emissions related to farming, and the use of fossil fuels.</w:t>
      </w:r>
      <w:r w:rsidR="7236DDD5">
        <w:t xml:space="preserve"> </w:t>
      </w:r>
      <w:r w:rsidR="394C7ADA">
        <w:t xml:space="preserve">To achieve its net zero emissions goal, </w:t>
      </w:r>
      <w:r w:rsidR="7236DDD5">
        <w:t xml:space="preserve">MDLZ aims to shift its ingredient supply chains away from sources </w:t>
      </w:r>
      <w:r w:rsidR="1B455D7E">
        <w:t>involving</w:t>
      </w:r>
      <w:r w:rsidR="7236DDD5">
        <w:t xml:space="preserve"> deforestation, to focus on regenerative agriculture</w:t>
      </w:r>
      <w:r w:rsidR="4E08826E">
        <w:t xml:space="preserve"> to restore degraded soils, and to avoid the use of fossil fuels</w:t>
      </w:r>
      <w:r w:rsidR="52C6C685">
        <w:t xml:space="preserve">. However, </w:t>
      </w:r>
      <w:r w:rsidR="610B454B">
        <w:t xml:space="preserve">some </w:t>
      </w:r>
      <w:r w:rsidR="3B269B80">
        <w:t>public policies</w:t>
      </w:r>
      <w:r w:rsidR="4E95F88F">
        <w:t xml:space="preserve"> that are supportive of </w:t>
      </w:r>
      <w:r w:rsidR="326380D4">
        <w:t xml:space="preserve">our company’s </w:t>
      </w:r>
      <w:r w:rsidR="4E95F88F">
        <w:t>goals</w:t>
      </w:r>
      <w:r w:rsidR="3B269B80">
        <w:t xml:space="preserve"> </w:t>
      </w:r>
      <w:r w:rsidR="2EB29743">
        <w:t xml:space="preserve">are facing </w:t>
      </w:r>
      <w:r w:rsidR="3B269B80">
        <w:t>political hea</w:t>
      </w:r>
      <w:r w:rsidR="4DF34429">
        <w:t>dwinds</w:t>
      </w:r>
      <w:r w:rsidR="00A72101" w:rsidRPr="3906D24F">
        <w:rPr>
          <w:rStyle w:val="FootnoteReference"/>
        </w:rPr>
        <w:footnoteReference w:id="7"/>
      </w:r>
      <w:r w:rsidR="61C19537">
        <w:t xml:space="preserve"> and others</w:t>
      </w:r>
      <w:r w:rsidR="5B77281C">
        <w:t>, such as the EU’s Common Agriculture Policy (CAP) w</w:t>
      </w:r>
      <w:r w:rsidR="62983390">
        <w:t xml:space="preserve">hich could help </w:t>
      </w:r>
      <w:r w:rsidR="14CF34D1">
        <w:t>accelerate</w:t>
      </w:r>
      <w:r w:rsidR="62983390">
        <w:t xml:space="preserve"> </w:t>
      </w:r>
      <w:r w:rsidR="66DAD78C">
        <w:t>regenerative agriculture</w:t>
      </w:r>
      <w:r w:rsidR="4AA8D653">
        <w:t xml:space="preserve"> in the region</w:t>
      </w:r>
      <w:r w:rsidR="00A72101" w:rsidRPr="3906D24F">
        <w:rPr>
          <w:rStyle w:val="FootnoteReference"/>
        </w:rPr>
        <w:footnoteReference w:id="8"/>
      </w:r>
      <w:r w:rsidR="66DAD78C">
        <w:t>, are at</w:t>
      </w:r>
      <w:r w:rsidR="7076971D">
        <w:t xml:space="preserve"> critical</w:t>
      </w:r>
      <w:r w:rsidR="62438CDC">
        <w:t xml:space="preserve"> junctures.</w:t>
      </w:r>
      <w:r w:rsidR="66DAD78C">
        <w:t xml:space="preserve"> </w:t>
      </w:r>
    </w:p>
    <w:p w14:paraId="09B9C431" w14:textId="08814467" w:rsidR="00A72101" w:rsidRDefault="00A72101" w:rsidP="189E8366">
      <w:pPr>
        <w:spacing w:line="259" w:lineRule="auto"/>
      </w:pPr>
    </w:p>
    <w:p w14:paraId="27B27CBB" w14:textId="6D7FD21B" w:rsidR="00A72101" w:rsidRDefault="3AA3573E" w:rsidP="3906D24F">
      <w:pPr>
        <w:spacing w:line="259" w:lineRule="auto"/>
      </w:pPr>
      <w:r>
        <w:t xml:space="preserve">In its unsuccessful attempt to omit the resolution from this year’s proxy statement, Mondelez attempted to argue that </w:t>
      </w:r>
      <w:r w:rsidR="175A93F7">
        <w:t xml:space="preserve">the proposal is not otherwise significantly related to the company’s </w:t>
      </w:r>
      <w:r w:rsidR="175A93F7">
        <w:lastRenderedPageBreak/>
        <w:t>business</w:t>
      </w:r>
      <w:r w:rsidR="31486332">
        <w:t>. M</w:t>
      </w:r>
      <w:r w:rsidR="447CB2BB">
        <w:t xml:space="preserve">DLZ </w:t>
      </w:r>
      <w:r w:rsidR="31486332">
        <w:t>argued that the $9 million</w:t>
      </w:r>
      <w:r w:rsidR="468CDF58">
        <w:t xml:space="preserve"> </w:t>
      </w:r>
      <w:r w:rsidR="1ECE4432">
        <w:t xml:space="preserve">it has </w:t>
      </w:r>
      <w:r w:rsidR="468CDF58">
        <w:t xml:space="preserve">spent just on federal lobbying since 2014 </w:t>
      </w:r>
      <w:r w:rsidR="618EF0B7">
        <w:t xml:space="preserve">is </w:t>
      </w:r>
      <w:r w:rsidR="468CDF58">
        <w:t>insignificant</w:t>
      </w:r>
      <w:r w:rsidR="388D5B41">
        <w:t xml:space="preserve"> when compared to its business operations without considering the exponential impact that such expenditures </w:t>
      </w:r>
      <w:r w:rsidR="61E2CAC9">
        <w:t xml:space="preserve">can </w:t>
      </w:r>
      <w:r w:rsidR="388D5B41">
        <w:t>have</w:t>
      </w:r>
      <w:r w:rsidR="7E7E926C">
        <w:t xml:space="preserve"> on a company’s business operations</w:t>
      </w:r>
      <w:r w:rsidR="388D5B41">
        <w:t xml:space="preserve"> through public polic</w:t>
      </w:r>
      <w:r w:rsidR="3236CF26">
        <w:t>ies or incentives.</w:t>
      </w:r>
      <w:r w:rsidR="3CA4F902">
        <w:t xml:space="preserve"> </w:t>
      </w:r>
      <w:r w:rsidR="28A47817">
        <w:t>Although modest in comparison to MDLZ’s total operating revenue, its annual federal lobbying expenditures – ranging from $600,000 to $1 million since 2020</w:t>
      </w:r>
      <w:r w:rsidR="00A72101" w:rsidRPr="3906D24F">
        <w:rPr>
          <w:rStyle w:val="FootnoteReference"/>
        </w:rPr>
        <w:footnoteReference w:id="9"/>
      </w:r>
      <w:r w:rsidR="28A47817">
        <w:t xml:space="preserve"> – can have an outsized impact in shaping policies that directly support its long-term busine</w:t>
      </w:r>
      <w:r w:rsidR="2F35981A">
        <w:t xml:space="preserve">ss strategy. </w:t>
      </w:r>
      <w:r w:rsidR="3CA4F902">
        <w:t>For example, the Inflation Reduction Act</w:t>
      </w:r>
      <w:r w:rsidR="7ED9A75C">
        <w:t>, enacted in 2023,</w:t>
      </w:r>
      <w:r w:rsidR="026AE242">
        <w:t xml:space="preserve"> </w:t>
      </w:r>
      <w:r w:rsidR="35DEFDCE">
        <w:t xml:space="preserve">allocated </w:t>
      </w:r>
      <w:r w:rsidR="76578ECF">
        <w:t>$</w:t>
      </w:r>
      <w:r w:rsidR="5D0D982D">
        <w:t>19.5</w:t>
      </w:r>
      <w:r w:rsidR="76578ECF">
        <w:t xml:space="preserve"> </w:t>
      </w:r>
      <w:r w:rsidR="71525FAE">
        <w:t xml:space="preserve">billion over </w:t>
      </w:r>
      <w:r w:rsidR="57555FA2">
        <w:t>five</w:t>
      </w:r>
      <w:r w:rsidR="71525FAE">
        <w:t xml:space="preserve"> years </w:t>
      </w:r>
      <w:r w:rsidR="76578ECF">
        <w:t xml:space="preserve">to </w:t>
      </w:r>
      <w:r w:rsidR="23731C81">
        <w:t>promote</w:t>
      </w:r>
      <w:r w:rsidR="76578ECF">
        <w:t xml:space="preserve"> climate-smart agricultural practices</w:t>
      </w:r>
      <w:r w:rsidR="00A72101" w:rsidRPr="3906D24F">
        <w:rPr>
          <w:rStyle w:val="FootnoteReference"/>
        </w:rPr>
        <w:footnoteReference w:id="10"/>
      </w:r>
      <w:r w:rsidR="76578ECF">
        <w:t xml:space="preserve">, </w:t>
      </w:r>
      <w:r w:rsidR="7A24E347">
        <w:t>including</w:t>
      </w:r>
      <w:r w:rsidR="76578ECF">
        <w:t xml:space="preserve"> regenerative </w:t>
      </w:r>
      <w:r w:rsidR="6AC5A841">
        <w:t>farming</w:t>
      </w:r>
      <w:r w:rsidR="32E99213">
        <w:t xml:space="preserve"> </w:t>
      </w:r>
      <w:r w:rsidR="6AC5A841">
        <w:t xml:space="preserve">methods </w:t>
      </w:r>
      <w:r w:rsidR="32E99213">
        <w:t xml:space="preserve">that Mondelez </w:t>
      </w:r>
      <w:r w:rsidR="2AE09FA3">
        <w:t>has identified</w:t>
      </w:r>
      <w:r w:rsidR="32E99213">
        <w:t xml:space="preserve"> a</w:t>
      </w:r>
      <w:r w:rsidR="7081E45B">
        <w:t xml:space="preserve">s </w:t>
      </w:r>
      <w:r w:rsidR="3AB354EA">
        <w:t xml:space="preserve">essential for </w:t>
      </w:r>
      <w:r w:rsidR="19EA1F6A">
        <w:t>the company's aims to mitigate climate change impact and reverse biodiversity loss</w:t>
      </w:r>
      <w:r w:rsidR="00A72101" w:rsidRPr="3906D24F">
        <w:rPr>
          <w:rStyle w:val="FootnoteReference"/>
        </w:rPr>
        <w:footnoteReference w:id="11"/>
      </w:r>
      <w:r w:rsidR="19904EB5">
        <w:t>.</w:t>
      </w:r>
      <w:r w:rsidR="424F0682">
        <w:t xml:space="preserve"> </w:t>
      </w:r>
      <w:r w:rsidR="12F012DC">
        <w:t>By</w:t>
      </w:r>
      <w:r w:rsidR="74033D58">
        <w:t xml:space="preserve"> engaging in policy advocacy, MDLZ helps safeguard and expand critical federal incentives or regulations that can benefit its agricultural supply</w:t>
      </w:r>
      <w:r w:rsidR="203DF59B">
        <w:t xml:space="preserve"> chain</w:t>
      </w:r>
      <w:r w:rsidR="74033D58">
        <w:t xml:space="preserve">, reinforcing the </w:t>
      </w:r>
      <w:r w:rsidR="5F1AA836">
        <w:t>strategic value of even relatively small lobbying expenditures.</w:t>
      </w:r>
    </w:p>
    <w:p w14:paraId="4C72A8C8" w14:textId="6FA1AA0E" w:rsidR="00A72101" w:rsidRDefault="00A72101" w:rsidP="3906D24F">
      <w:pPr>
        <w:spacing w:line="259" w:lineRule="auto"/>
      </w:pPr>
    </w:p>
    <w:p w14:paraId="0E2C32FC" w14:textId="77F73FAA" w:rsidR="00A72101" w:rsidRDefault="3350D46D" w:rsidP="189E8366">
      <w:pPr>
        <w:spacing w:line="259" w:lineRule="auto"/>
      </w:pPr>
      <w:r>
        <w:t xml:space="preserve">In its most recent annual report, MDLZ stated that </w:t>
      </w:r>
      <w:r w:rsidR="578E8DB8">
        <w:t xml:space="preserve">its ability to </w:t>
      </w:r>
      <w:r w:rsidR="767DEE5A">
        <w:t>achieve</w:t>
      </w:r>
      <w:r w:rsidR="578E8DB8">
        <w:t xml:space="preserve"> goals or targets related to sustainability matters </w:t>
      </w:r>
      <w:r w:rsidR="23D72C90">
        <w:t>are subject to evolving regulatory</w:t>
      </w:r>
      <w:r w:rsidR="113D6E72">
        <w:t xml:space="preserve"> </w:t>
      </w:r>
      <w:r w:rsidR="23D72C90">
        <w:t>requirements and to the availability of suppliers that can meet the company’s ambitions</w:t>
      </w:r>
      <w:r w:rsidR="00A72101" w:rsidRPr="3906D24F">
        <w:rPr>
          <w:rStyle w:val="FootnoteReference"/>
        </w:rPr>
        <w:footnoteReference w:id="12"/>
      </w:r>
      <w:r w:rsidR="23D72C90">
        <w:t>.</w:t>
      </w:r>
      <w:r w:rsidR="22F218A3">
        <w:t xml:space="preserve"> </w:t>
      </w:r>
      <w:r w:rsidR="5030A10D">
        <w:t xml:space="preserve">It is therefore imperative for long-term shareholders of MDLZ </w:t>
      </w:r>
      <w:r w:rsidR="5166C02D">
        <w:t xml:space="preserve">that </w:t>
      </w:r>
      <w:r w:rsidR="58CEB1DE">
        <w:t>the company more transparently disclose</w:t>
      </w:r>
      <w:r w:rsidR="5030A10D">
        <w:t xml:space="preserve"> how </w:t>
      </w:r>
      <w:r w:rsidR="56089F22">
        <w:t xml:space="preserve">it </w:t>
      </w:r>
      <w:r w:rsidR="153C0893">
        <w:t xml:space="preserve">both currently conducts and intends to </w:t>
      </w:r>
      <w:r w:rsidR="4DA05E90">
        <w:t xml:space="preserve">conduct its </w:t>
      </w:r>
      <w:r w:rsidR="56DD0AF8">
        <w:t>lobbying and policy influence activities in support of</w:t>
      </w:r>
      <w:r w:rsidR="25130A84">
        <w:t xml:space="preserve"> its</w:t>
      </w:r>
      <w:r w:rsidR="754B316D">
        <w:t xml:space="preserve"> climate-related goals </w:t>
      </w:r>
      <w:r w:rsidR="008E9F8E">
        <w:t xml:space="preserve">which </w:t>
      </w:r>
      <w:r w:rsidR="05358B46">
        <w:t>are</w:t>
      </w:r>
      <w:r w:rsidR="54225E79">
        <w:t xml:space="preserve"> closely</w:t>
      </w:r>
      <w:r w:rsidR="05358B46">
        <w:t xml:space="preserve"> tied to our company’s long-term business success</w:t>
      </w:r>
      <w:r w:rsidR="5A30D217">
        <w:t>.</w:t>
      </w:r>
    </w:p>
    <w:p w14:paraId="1EF259DD" w14:textId="28FBB4AE" w:rsidR="3906D24F" w:rsidRDefault="3906D24F" w:rsidP="3906D24F">
      <w:pPr>
        <w:spacing w:line="259" w:lineRule="auto"/>
      </w:pPr>
    </w:p>
    <w:p w14:paraId="0AADB3CF" w14:textId="56DC2CB6" w:rsidR="3906D24F" w:rsidRDefault="3906D24F" w:rsidP="3906D24F">
      <w:pPr>
        <w:spacing w:line="259" w:lineRule="auto"/>
      </w:pPr>
    </w:p>
    <w:p w14:paraId="30E0DDED" w14:textId="038AEA7F" w:rsidR="3906D24F" w:rsidRDefault="3906D24F" w:rsidP="3906D24F">
      <w:pPr>
        <w:spacing w:line="259" w:lineRule="auto"/>
      </w:pPr>
    </w:p>
    <w:p w14:paraId="20409884" w14:textId="77777777" w:rsidR="00CD1E2A" w:rsidRPr="003F2EBA" w:rsidRDefault="00CD1E2A" w:rsidP="003F2EBA"/>
    <w:p w14:paraId="4F408C4D" w14:textId="34A0F148" w:rsidR="00EC27F8" w:rsidRDefault="00EC27F8" w:rsidP="3906D24F">
      <w:pPr>
        <w:pStyle w:val="ListParagraph"/>
        <w:numPr>
          <w:ilvl w:val="0"/>
          <w:numId w:val="10"/>
        </w:numPr>
        <w:rPr>
          <w:b/>
          <w:bCs/>
        </w:rPr>
      </w:pPr>
      <w:r w:rsidRPr="3906D24F">
        <w:rPr>
          <w:b/>
          <w:bCs/>
        </w:rPr>
        <w:t xml:space="preserve">MDLZ can demonstrate that </w:t>
      </w:r>
      <w:r w:rsidR="58FCCEFC" w:rsidRPr="3906D24F">
        <w:rPr>
          <w:b/>
          <w:bCs/>
        </w:rPr>
        <w:t>it</w:t>
      </w:r>
      <w:r w:rsidRPr="3906D24F">
        <w:rPr>
          <w:b/>
          <w:bCs/>
        </w:rPr>
        <w:t xml:space="preserve"> has a consistent lobbying strategy in support of the company’s ability to meet its climate-related commitments.</w:t>
      </w:r>
    </w:p>
    <w:p w14:paraId="3981F115" w14:textId="2B7B8433" w:rsidR="3906D24F" w:rsidRDefault="3906D24F" w:rsidP="3906D24F">
      <w:pPr>
        <w:rPr>
          <w:b/>
          <w:bCs/>
        </w:rPr>
      </w:pPr>
    </w:p>
    <w:p w14:paraId="1D7E16AC" w14:textId="55027716" w:rsidR="21C42FD3" w:rsidRDefault="21C42FD3" w:rsidP="3906D24F">
      <w:r w:rsidRPr="3906D24F">
        <w:t>MDLZ’s Governance, Membership, and Sustainability Committee</w:t>
      </w:r>
      <w:r w:rsidR="0932E233" w:rsidRPr="3906D24F">
        <w:t xml:space="preserve"> (GMSC) oversees our company’s ESG policies and programs related to corporate citizenship, social respon</w:t>
      </w:r>
      <w:r w:rsidR="202540B9" w:rsidRPr="3906D24F">
        <w:t>sibility and public policy issues.</w:t>
      </w:r>
      <w:r w:rsidR="74CD1062" w:rsidRPr="3906D24F">
        <w:t xml:space="preserve"> </w:t>
      </w:r>
      <w:r w:rsidR="78B60E59" w:rsidRPr="3906D24F">
        <w:t>At least once a year, MDLZ management reports to the GMSC on the company’s government relations strategies, lobbying activities, and political contributions.</w:t>
      </w:r>
      <w:r w:rsidR="7D37F02D" w:rsidRPr="3906D24F">
        <w:t xml:space="preserve"> </w:t>
      </w:r>
      <w:r w:rsidR="041BD0E0" w:rsidRPr="3906D24F">
        <w:t>Further, in its latest publicly available response to the CDP, MDLZ indicate</w:t>
      </w:r>
      <w:r w:rsidR="3CB6239C" w:rsidRPr="3906D24F">
        <w:t>s</w:t>
      </w:r>
      <w:r w:rsidR="041BD0E0" w:rsidRPr="3906D24F">
        <w:t xml:space="preserve"> that there is close coordination between the company’s </w:t>
      </w:r>
      <w:r w:rsidR="2273162B" w:rsidRPr="3906D24F">
        <w:t>Corporate and Government Affairs and Impact teams to ensure that external policy engagement activities reflect the company’s su</w:t>
      </w:r>
      <w:r w:rsidR="53A993D5" w:rsidRPr="3906D24F">
        <w:t>stainability goals</w:t>
      </w:r>
      <w:r w:rsidRPr="3906D24F">
        <w:rPr>
          <w:rStyle w:val="FootnoteReference"/>
        </w:rPr>
        <w:footnoteReference w:id="13"/>
      </w:r>
      <w:r w:rsidR="70DE2534" w:rsidRPr="3906D24F">
        <w:t>.</w:t>
      </w:r>
    </w:p>
    <w:p w14:paraId="6F756014" w14:textId="31A77FC3" w:rsidR="3906D24F" w:rsidRDefault="3906D24F" w:rsidP="3906D24F"/>
    <w:p w14:paraId="4B6FAB34" w14:textId="5F40BC6C" w:rsidR="10F7BB18" w:rsidRDefault="10F7BB18" w:rsidP="3906D24F">
      <w:pPr>
        <w:spacing w:line="259" w:lineRule="auto"/>
      </w:pPr>
      <w:r w:rsidRPr="3906D24F">
        <w:lastRenderedPageBreak/>
        <w:t>Shareholders welcome that, i</w:t>
      </w:r>
      <w:r w:rsidR="04524245" w:rsidRPr="3906D24F">
        <w:t>n its opposition statement, MDLZ states that it has a robust process in place to oversee</w:t>
      </w:r>
      <w:r w:rsidR="124B29BD" w:rsidRPr="3906D24F">
        <w:t xml:space="preserve"> the company’s lobbying activities and expenditures that promote alignment with its sustainability goa</w:t>
      </w:r>
      <w:r w:rsidR="098799B9" w:rsidRPr="3906D24F">
        <w:t xml:space="preserve">ls. </w:t>
      </w:r>
      <w:r w:rsidR="58078D24" w:rsidRPr="3906D24F">
        <w:t xml:space="preserve">However, </w:t>
      </w:r>
      <w:r w:rsidR="3FD5A246" w:rsidRPr="3906D24F">
        <w:t>the company</w:t>
      </w:r>
      <w:r w:rsidR="21870D72" w:rsidRPr="3906D24F">
        <w:t xml:space="preserve"> </w:t>
      </w:r>
      <w:r w:rsidR="183E7D61" w:rsidRPr="3906D24F">
        <w:t xml:space="preserve">has </w:t>
      </w:r>
      <w:r w:rsidR="21870D72" w:rsidRPr="3906D24F">
        <w:t>not disclose</w:t>
      </w:r>
      <w:r w:rsidR="6FD41A76" w:rsidRPr="3906D24F">
        <w:t>d</w:t>
      </w:r>
      <w:r w:rsidR="21870D72" w:rsidRPr="3906D24F">
        <w:t xml:space="preserve"> how this process leads to the identification of </w:t>
      </w:r>
      <w:r w:rsidR="67E2278B" w:rsidRPr="3906D24F">
        <w:t xml:space="preserve">public </w:t>
      </w:r>
      <w:r w:rsidR="21870D72" w:rsidRPr="3906D24F">
        <w:t xml:space="preserve">policies and regulations that could </w:t>
      </w:r>
      <w:r w:rsidR="3E3A8EFA" w:rsidRPr="3906D24F">
        <w:t>influence</w:t>
      </w:r>
      <w:r w:rsidR="150D144C" w:rsidRPr="3906D24F">
        <w:t xml:space="preserve"> its emissions related goals </w:t>
      </w:r>
      <w:r w:rsidR="69FCB5B0" w:rsidRPr="3906D24F">
        <w:t xml:space="preserve">or what criteria the GMSC </w:t>
      </w:r>
      <w:r w:rsidR="6B56BCD2" w:rsidRPr="3906D24F">
        <w:t xml:space="preserve">considers </w:t>
      </w:r>
      <w:r w:rsidR="08D7BA8A" w:rsidRPr="3906D24F">
        <w:t>when it assesses</w:t>
      </w:r>
      <w:r w:rsidR="69FCB5B0" w:rsidRPr="3906D24F">
        <w:t xml:space="preserve"> the alignment of</w:t>
      </w:r>
      <w:r w:rsidR="0F4D295A" w:rsidRPr="3906D24F">
        <w:t xml:space="preserve"> </w:t>
      </w:r>
      <w:r w:rsidR="281B55CD" w:rsidRPr="3906D24F">
        <w:t xml:space="preserve">MDLZ’s </w:t>
      </w:r>
      <w:r w:rsidR="0F4D295A" w:rsidRPr="3906D24F">
        <w:t xml:space="preserve">lobbying activities with </w:t>
      </w:r>
      <w:r w:rsidR="370929A6" w:rsidRPr="3906D24F">
        <w:t xml:space="preserve">its </w:t>
      </w:r>
      <w:r w:rsidR="0F4D295A" w:rsidRPr="3906D24F">
        <w:t>emissions related goals.</w:t>
      </w:r>
      <w:r w:rsidR="69FCB5B0" w:rsidRPr="3906D24F">
        <w:t xml:space="preserve"> </w:t>
      </w:r>
      <w:r w:rsidR="63B1E464" w:rsidRPr="3906D24F">
        <w:t xml:space="preserve">MDLZ </w:t>
      </w:r>
      <w:r w:rsidR="5E8082C6" w:rsidRPr="3906D24F">
        <w:t>has only disclosed a very</w:t>
      </w:r>
      <w:r w:rsidR="63B1E464" w:rsidRPr="3906D24F">
        <w:t xml:space="preserve"> brief description of </w:t>
      </w:r>
      <w:r w:rsidR="092A6C5F" w:rsidRPr="3906D24F">
        <w:t>the company’s process to ensure that its external lobbying and engagement activities are consistent with the company’s environmental commitments, such as its</w:t>
      </w:r>
      <w:r w:rsidR="6A4E78ED" w:rsidRPr="3906D24F">
        <w:t xml:space="preserve"> net zero emissions across the company’s full value chain by 2050.</w:t>
      </w:r>
      <w:r w:rsidR="54563DF3" w:rsidRPr="3906D24F">
        <w:t xml:space="preserve"> In comparison, competitors such as General Mills</w:t>
      </w:r>
      <w:r w:rsidRPr="3906D24F">
        <w:rPr>
          <w:rStyle w:val="FootnoteReference"/>
        </w:rPr>
        <w:footnoteReference w:id="14"/>
      </w:r>
      <w:r w:rsidR="54563DF3" w:rsidRPr="3906D24F">
        <w:t xml:space="preserve"> and Unilever</w:t>
      </w:r>
      <w:r w:rsidRPr="3906D24F">
        <w:rPr>
          <w:rStyle w:val="FootnoteReference"/>
        </w:rPr>
        <w:footnoteReference w:id="15"/>
      </w:r>
      <w:r w:rsidR="54563DF3" w:rsidRPr="3906D24F">
        <w:t xml:space="preserve"> have provided much more transparency to their shareholders on</w:t>
      </w:r>
      <w:r w:rsidR="77C67741" w:rsidRPr="3906D24F">
        <w:t xml:space="preserve"> their processes and oversight of external lobbying and engagement activities.</w:t>
      </w:r>
      <w:r w:rsidR="54563DF3" w:rsidRPr="3906D24F">
        <w:t xml:space="preserve"> </w:t>
      </w:r>
    </w:p>
    <w:p w14:paraId="68DE03C0" w14:textId="77777777" w:rsidR="00EC27F8" w:rsidRDefault="00EC27F8" w:rsidP="00EC27F8">
      <w:pPr>
        <w:pStyle w:val="ListParagraph"/>
        <w:rPr>
          <w:rFonts w:cstheme="minorHAnsi"/>
          <w:b/>
        </w:rPr>
      </w:pPr>
    </w:p>
    <w:p w14:paraId="775D3400" w14:textId="7C6BBA72" w:rsidR="00EC27F8" w:rsidRDefault="00EC27F8" w:rsidP="00EC27F8">
      <w:pPr>
        <w:pStyle w:val="ListParagraph"/>
        <w:numPr>
          <w:ilvl w:val="0"/>
          <w:numId w:val="10"/>
        </w:numPr>
        <w:rPr>
          <w:rFonts w:cstheme="minorHAnsi"/>
          <w:b/>
        </w:rPr>
      </w:pPr>
      <w:r>
        <w:rPr>
          <w:rFonts w:cstheme="minorHAnsi"/>
          <w:b/>
        </w:rPr>
        <w:t>MDLZ’s lobbying disclosure has fallen behind that of its peers</w:t>
      </w:r>
    </w:p>
    <w:p w14:paraId="74589FFE" w14:textId="77777777" w:rsidR="00EC27F8" w:rsidRPr="00EC27F8" w:rsidRDefault="00EC27F8" w:rsidP="00EC27F8">
      <w:pPr>
        <w:pStyle w:val="ListParagraph"/>
        <w:rPr>
          <w:rFonts w:cstheme="minorHAnsi"/>
          <w:b/>
        </w:rPr>
      </w:pPr>
    </w:p>
    <w:p w14:paraId="50729B4F" w14:textId="5172C6E3" w:rsidR="007206B9" w:rsidRPr="00230330" w:rsidRDefault="6F350DE8" w:rsidP="3906D24F">
      <w:pPr>
        <w:spacing w:line="259" w:lineRule="auto"/>
      </w:pPr>
      <w:r w:rsidRPr="189E8366">
        <w:t>In addition to General Mills</w:t>
      </w:r>
      <w:r w:rsidR="5E12CBA9" w:rsidRPr="3906D24F">
        <w:rPr>
          <w:rStyle w:val="FootnoteReference"/>
        </w:rPr>
        <w:footnoteReference w:id="16"/>
      </w:r>
      <w:r w:rsidRPr="189E8366">
        <w:t xml:space="preserve"> and Unilever</w:t>
      </w:r>
      <w:r w:rsidR="5E12CBA9" w:rsidRPr="3906D24F">
        <w:rPr>
          <w:rStyle w:val="FootnoteReference"/>
        </w:rPr>
        <w:footnoteReference w:id="17"/>
      </w:r>
      <w:r w:rsidRPr="189E8366">
        <w:t xml:space="preserve">, which have both more transparently disclosed </w:t>
      </w:r>
      <w:r w:rsidR="6AF5A8F2" w:rsidRPr="189E8366">
        <w:t>how its policy influence activities align</w:t>
      </w:r>
      <w:r w:rsidR="12A6D5EB" w:rsidRPr="189E8366">
        <w:t xml:space="preserve"> or </w:t>
      </w:r>
      <w:r w:rsidR="3E9CC833" w:rsidRPr="189E8366">
        <w:t>misalign</w:t>
      </w:r>
      <w:r w:rsidR="6AF5A8F2" w:rsidRPr="189E8366">
        <w:t xml:space="preserve"> with their strategic </w:t>
      </w:r>
      <w:r w:rsidR="0084FBE3" w:rsidRPr="189E8366">
        <w:t xml:space="preserve">climate and sustainability-related </w:t>
      </w:r>
      <w:r w:rsidR="6AF5A8F2" w:rsidRPr="189E8366">
        <w:t>goals</w:t>
      </w:r>
      <w:r w:rsidR="4D100F53" w:rsidRPr="189E8366">
        <w:t>, other l</w:t>
      </w:r>
      <w:r w:rsidR="5E12CBA9" w:rsidRPr="189E8366">
        <w:t>arge-cap companies with similar iconic consumer brand</w:t>
      </w:r>
      <w:r w:rsidR="00EC27F8">
        <w:t>s to those that</w:t>
      </w:r>
      <w:r w:rsidR="434708B6" w:rsidRPr="189E8366">
        <w:t xml:space="preserve"> </w:t>
      </w:r>
      <w:r w:rsidR="00EC27F8">
        <w:t>Mondelez owns</w:t>
      </w:r>
      <w:r w:rsidR="00420B42" w:rsidRPr="189E8366">
        <w:t xml:space="preserve">, </w:t>
      </w:r>
      <w:r w:rsidR="7B6058B7" w:rsidRPr="189E8366">
        <w:t>such</w:t>
      </w:r>
      <w:r w:rsidR="00786EAD" w:rsidRPr="189E8366">
        <w:t xml:space="preserve"> </w:t>
      </w:r>
      <w:r w:rsidR="7B6058B7" w:rsidRPr="189E8366">
        <w:t xml:space="preserve">as </w:t>
      </w:r>
      <w:r w:rsidR="45FECE5A" w:rsidRPr="189E8366">
        <w:t>Apple</w:t>
      </w:r>
      <w:r w:rsidR="5E12CBA9" w:rsidRPr="3906D24F">
        <w:rPr>
          <w:rStyle w:val="FootnoteReference"/>
        </w:rPr>
        <w:footnoteReference w:id="18"/>
      </w:r>
      <w:r w:rsidR="00786EAD" w:rsidRPr="189E8366">
        <w:t xml:space="preserve">, </w:t>
      </w:r>
      <w:r w:rsidR="3CA1E01D" w:rsidRPr="189E8366">
        <w:t>Delta Airlines</w:t>
      </w:r>
      <w:r w:rsidR="5E12CBA9" w:rsidRPr="3906D24F">
        <w:rPr>
          <w:rStyle w:val="FootnoteReference"/>
        </w:rPr>
        <w:footnoteReference w:id="19"/>
      </w:r>
      <w:r w:rsidR="3CA1E01D" w:rsidRPr="189E8366">
        <w:t xml:space="preserve">, </w:t>
      </w:r>
      <w:r w:rsidR="669C642B" w:rsidRPr="189E8366">
        <w:t>PepsiCo</w:t>
      </w:r>
      <w:r w:rsidR="00786EAD" w:rsidRPr="189E8366">
        <w:rPr>
          <w:rStyle w:val="FootnoteReference"/>
        </w:rPr>
        <w:footnoteReference w:id="20"/>
      </w:r>
      <w:r w:rsidR="3FBC57D3" w:rsidRPr="189E8366">
        <w:t>, and Honeywell</w:t>
      </w:r>
      <w:r w:rsidR="5E12CBA9" w:rsidRPr="3906D24F">
        <w:rPr>
          <w:rStyle w:val="FootnoteReference"/>
        </w:rPr>
        <w:footnoteReference w:id="21"/>
      </w:r>
      <w:r w:rsidR="3FBC57D3" w:rsidRPr="189E8366">
        <w:t xml:space="preserve"> </w:t>
      </w:r>
      <w:r w:rsidR="00420B42" w:rsidRPr="189E8366">
        <w:t xml:space="preserve">have issued </w:t>
      </w:r>
      <w:r w:rsidR="00786EAD" w:rsidRPr="189E8366">
        <w:t xml:space="preserve">climate </w:t>
      </w:r>
      <w:r w:rsidR="53E39111" w:rsidRPr="189E8366">
        <w:t>policy statement</w:t>
      </w:r>
      <w:r w:rsidR="4E11A59E" w:rsidRPr="189E8366">
        <w:t>s, provided ample</w:t>
      </w:r>
      <w:r w:rsidR="53E39111" w:rsidRPr="189E8366">
        <w:t xml:space="preserve"> </w:t>
      </w:r>
      <w:r w:rsidR="087EF5E5" w:rsidRPr="189E8366">
        <w:t>disclosures</w:t>
      </w:r>
      <w:r w:rsidR="4FB1BD0E" w:rsidRPr="189E8366">
        <w:t xml:space="preserve"> of </w:t>
      </w:r>
      <w:r w:rsidR="5A518097" w:rsidRPr="189E8366">
        <w:t xml:space="preserve">their </w:t>
      </w:r>
      <w:r w:rsidR="4FB1BD0E" w:rsidRPr="189E8366">
        <w:t>policy influence activities,</w:t>
      </w:r>
      <w:r w:rsidR="087EF5E5" w:rsidRPr="189E8366">
        <w:t xml:space="preserve"> </w:t>
      </w:r>
      <w:r w:rsidR="53E39111" w:rsidRPr="189E8366">
        <w:t xml:space="preserve">or </w:t>
      </w:r>
      <w:r w:rsidR="690A7901" w:rsidRPr="189E8366">
        <w:t xml:space="preserve">produced climate policy </w:t>
      </w:r>
      <w:r w:rsidR="53E39111" w:rsidRPr="189E8366">
        <w:t>alignment</w:t>
      </w:r>
      <w:r w:rsidR="00420B42" w:rsidRPr="189E8366">
        <w:t xml:space="preserve"> reports. </w:t>
      </w:r>
      <w:r w:rsidR="46D2AD29" w:rsidRPr="189E8366">
        <w:t>Unilever</w:t>
      </w:r>
      <w:r w:rsidR="1B4C14A8" w:rsidRPr="189E8366">
        <w:t xml:space="preserve"> has </w:t>
      </w:r>
      <w:r w:rsidR="171F16BE" w:rsidRPr="189E8366">
        <w:t>provided</w:t>
      </w:r>
      <w:r w:rsidR="6D1B2B60" w:rsidRPr="189E8366">
        <w:t xml:space="preserve"> industry leading </w:t>
      </w:r>
      <w:r w:rsidR="171F16BE" w:rsidRPr="189E8366">
        <w:t xml:space="preserve">transparency with its disclosure of the </w:t>
      </w:r>
      <w:r w:rsidR="1B4C14A8" w:rsidRPr="189E8366">
        <w:t>company’s priority climate policy areas</w:t>
      </w:r>
      <w:r w:rsidR="2C7A8300" w:rsidRPr="189E8366">
        <w:t>, the company’s internal</w:t>
      </w:r>
      <w:r w:rsidR="7F5DE60A" w:rsidRPr="189E8366">
        <w:t xml:space="preserve"> oversight </w:t>
      </w:r>
      <w:r w:rsidR="09C50F20" w:rsidRPr="189E8366">
        <w:t xml:space="preserve">of its </w:t>
      </w:r>
      <w:r w:rsidR="7F5DE60A" w:rsidRPr="189E8366">
        <w:t xml:space="preserve">climate policy engagement, and how it seeks to </w:t>
      </w:r>
      <w:r w:rsidR="596DA10E" w:rsidRPr="189E8366">
        <w:t>assess</w:t>
      </w:r>
      <w:r w:rsidR="7F5DE60A" w:rsidRPr="189E8366">
        <w:t xml:space="preserve"> the alignment of </w:t>
      </w:r>
      <w:r w:rsidR="6C608CE3" w:rsidRPr="189E8366">
        <w:t>the industry associations that the company is a member of.</w:t>
      </w:r>
      <w:r w:rsidR="10214ACF" w:rsidRPr="189E8366">
        <w:t xml:space="preserve"> Examples of additional companies </w:t>
      </w:r>
      <w:r w:rsidR="10214ACF" w:rsidRPr="189E8366">
        <w:lastRenderedPageBreak/>
        <w:t xml:space="preserve">producing leading reports include </w:t>
      </w:r>
      <w:r w:rsidR="10214ACF">
        <w:t>BP</w:t>
      </w:r>
      <w:r w:rsidR="5E12CBA9" w:rsidRPr="3906D24F">
        <w:rPr>
          <w:vertAlign w:val="superscript"/>
        </w:rPr>
        <w:footnoteReference w:id="22"/>
      </w:r>
      <w:r w:rsidR="10214ACF">
        <w:t>, Microsoft</w:t>
      </w:r>
      <w:r w:rsidR="5E12CBA9" w:rsidRPr="3906D24F">
        <w:rPr>
          <w:rStyle w:val="FootnoteReference"/>
        </w:rPr>
        <w:footnoteReference w:id="23"/>
      </w:r>
      <w:r w:rsidR="10214ACF">
        <w:t>, CSX</w:t>
      </w:r>
      <w:r w:rsidR="5E12CBA9" w:rsidRPr="3906D24F">
        <w:rPr>
          <w:rStyle w:val="FootnoteReference"/>
        </w:rPr>
        <w:footnoteReference w:id="24"/>
      </w:r>
      <w:r w:rsidR="10214ACF">
        <w:t>, Ford Motor Company</w:t>
      </w:r>
      <w:r w:rsidR="5E12CBA9" w:rsidRPr="3906D24F">
        <w:rPr>
          <w:rStyle w:val="FootnoteReference"/>
        </w:rPr>
        <w:footnoteReference w:id="25"/>
      </w:r>
      <w:r w:rsidR="10214ACF">
        <w:t>, GM</w:t>
      </w:r>
      <w:r w:rsidR="5E12CBA9" w:rsidRPr="3906D24F">
        <w:rPr>
          <w:rStyle w:val="FootnoteReference"/>
        </w:rPr>
        <w:footnoteReference w:id="26"/>
      </w:r>
      <w:r w:rsidR="10214ACF">
        <w:t>, and Shell.</w:t>
      </w:r>
      <w:r w:rsidR="5E12CBA9" w:rsidRPr="3906D24F">
        <w:rPr>
          <w:vertAlign w:val="superscript"/>
        </w:rPr>
        <w:footnoteReference w:id="27"/>
      </w:r>
    </w:p>
    <w:p w14:paraId="6312E39C" w14:textId="493F0235" w:rsidR="007206B9" w:rsidRPr="00230330" w:rsidRDefault="007206B9" w:rsidP="3906D24F">
      <w:pPr>
        <w:spacing w:line="259" w:lineRule="auto"/>
      </w:pPr>
    </w:p>
    <w:p w14:paraId="397DE721" w14:textId="66AA862F" w:rsidR="007206B9" w:rsidRPr="00230330" w:rsidRDefault="6C608CE3" w:rsidP="3906D24F">
      <w:pPr>
        <w:spacing w:line="259" w:lineRule="auto"/>
      </w:pPr>
      <w:r w:rsidRPr="189E8366">
        <w:t xml:space="preserve"> </w:t>
      </w:r>
      <w:r w:rsidR="00786EAD" w:rsidRPr="189E8366">
        <w:t xml:space="preserve">A 2022 </w:t>
      </w:r>
      <w:r w:rsidR="00C81381" w:rsidRPr="189E8366">
        <w:t>report from the Interfaith Center on Corporate Responsibility surveyed lobbying alignment reports from over 70 global companies and identified key elements of best practice</w:t>
      </w:r>
      <w:r w:rsidR="00786EAD" w:rsidRPr="189E8366">
        <w:t xml:space="preserve"> which include a published annual review of a company’s own climate lobbying and that of its trade associations and disclosure of actions taken to address </w:t>
      </w:r>
      <w:r w:rsidR="54CD3FC1" w:rsidRPr="189E8366">
        <w:t xml:space="preserve">any </w:t>
      </w:r>
      <w:r w:rsidR="00786EAD" w:rsidRPr="189E8366">
        <w:t>identified misalignments with Paris Goals or the company’s climate policy positions</w:t>
      </w:r>
      <w:r w:rsidR="00C81381" w:rsidRPr="189E8366">
        <w:t>.</w:t>
      </w:r>
      <w:r w:rsidR="00C81381" w:rsidRPr="189E8366">
        <w:rPr>
          <w:rStyle w:val="FootnoteReference"/>
        </w:rPr>
        <w:footnoteReference w:id="28"/>
      </w:r>
      <w:r w:rsidR="39D665D4">
        <w:t xml:space="preserve"> </w:t>
      </w:r>
      <w:r w:rsidR="016AA148">
        <w:t>One critically important</w:t>
      </w:r>
      <w:r w:rsidR="7D5D2092">
        <w:t xml:space="preserve"> disclosure </w:t>
      </w:r>
      <w:r w:rsidR="3492014F">
        <w:t xml:space="preserve">best </w:t>
      </w:r>
      <w:r w:rsidR="7D5D2092">
        <w:t>practice described in the report</w:t>
      </w:r>
      <w:r w:rsidR="494C1428">
        <w:t xml:space="preserve"> for companies with climate or GHG reduction targets</w:t>
      </w:r>
      <w:r w:rsidR="7D5D2092">
        <w:t xml:space="preserve"> i</w:t>
      </w:r>
      <w:r w:rsidR="77BC3A6F">
        <w:t>s that</w:t>
      </w:r>
      <w:r w:rsidR="36D365D7">
        <w:t xml:space="preserve"> such</w:t>
      </w:r>
      <w:r w:rsidR="77BC3A6F">
        <w:t xml:space="preserve"> </w:t>
      </w:r>
      <w:r w:rsidR="651FA19D">
        <w:t xml:space="preserve">companies </w:t>
      </w:r>
      <w:r w:rsidR="77BC3A6F">
        <w:t xml:space="preserve">should describe </w:t>
      </w:r>
      <w:r w:rsidR="7CA55B74">
        <w:t xml:space="preserve">their strategies </w:t>
      </w:r>
      <w:r w:rsidR="77BC3A6F">
        <w:t xml:space="preserve">for how </w:t>
      </w:r>
      <w:r w:rsidR="5A353AF6">
        <w:t xml:space="preserve">their </w:t>
      </w:r>
      <w:r w:rsidR="77BC3A6F">
        <w:t xml:space="preserve">policy/lobbying/public influence aligns and supports </w:t>
      </w:r>
      <w:r w:rsidR="0892DFC4">
        <w:t xml:space="preserve">their </w:t>
      </w:r>
      <w:r w:rsidR="77BC3A6F">
        <w:t>climate goals and commitments. This includes articulating the policy pathway for any climate transition plans, when relevant.</w:t>
      </w:r>
      <w:r w:rsidR="27480AAC">
        <w:t xml:space="preserve"> </w:t>
      </w:r>
      <w:r w:rsidR="4C8DC461">
        <w:t>The report further indicates that, in line with best practice, m</w:t>
      </w:r>
      <w:r w:rsidR="00C81381" w:rsidRPr="189E8366">
        <w:t xml:space="preserve">any companies </w:t>
      </w:r>
      <w:r w:rsidR="00786EAD" w:rsidRPr="189E8366">
        <w:t>have produced climate lobbying</w:t>
      </w:r>
      <w:r w:rsidR="007206B9" w:rsidRPr="189E8366">
        <w:t xml:space="preserve"> reports which assess the alignment between company positions on climate change</w:t>
      </w:r>
      <w:r w:rsidR="6C467EFC" w:rsidRPr="189E8366">
        <w:t xml:space="preserve"> policy</w:t>
      </w:r>
      <w:r w:rsidR="007206B9" w:rsidRPr="189E8366">
        <w:t xml:space="preserve"> and the positions and lobbying of their key trade associations</w:t>
      </w:r>
      <w:r w:rsidR="6041060A" w:rsidRPr="189E8366">
        <w:t xml:space="preserve"> on such policy-related issues</w:t>
      </w:r>
      <w:r w:rsidR="65A7CB60" w:rsidRPr="189E8366">
        <w:t>.</w:t>
      </w:r>
      <w:r w:rsidR="00786EAD" w:rsidRPr="189E8366">
        <w:t xml:space="preserve"> </w:t>
      </w:r>
      <w:r w:rsidR="6874E7CD" w:rsidRPr="189E8366">
        <w:t>I</w:t>
      </w:r>
      <w:r w:rsidR="5C2ECF3C" w:rsidRPr="189E8366">
        <w:t xml:space="preserve">n accordance with </w:t>
      </w:r>
      <w:r w:rsidR="1749697E" w:rsidRPr="189E8366">
        <w:t xml:space="preserve">a </w:t>
      </w:r>
      <w:r w:rsidR="5C2ECF3C" w:rsidRPr="189E8366">
        <w:t>company</w:t>
      </w:r>
      <w:r w:rsidR="2D8EECB3" w:rsidRPr="189E8366">
        <w:t>’s stated</w:t>
      </w:r>
      <w:r w:rsidR="5C2ECF3C" w:rsidRPr="189E8366">
        <w:t xml:space="preserve"> policy</w:t>
      </w:r>
      <w:r w:rsidR="4D769050" w:rsidRPr="189E8366">
        <w:t xml:space="preserve"> for addressing </w:t>
      </w:r>
      <w:r w:rsidR="03D5D6BB" w:rsidRPr="189E8366">
        <w:t xml:space="preserve">important </w:t>
      </w:r>
      <w:r w:rsidR="4D769050" w:rsidRPr="189E8366">
        <w:t>misalignments</w:t>
      </w:r>
      <w:r w:rsidR="5C2ECF3C" w:rsidRPr="189E8366">
        <w:t>,</w:t>
      </w:r>
      <w:r w:rsidR="39873096" w:rsidRPr="189E8366">
        <w:t xml:space="preserve"> </w:t>
      </w:r>
      <w:r w:rsidR="4A765451" w:rsidRPr="189E8366">
        <w:t xml:space="preserve">some have </w:t>
      </w:r>
      <w:r w:rsidR="00786EAD" w:rsidRPr="189E8366">
        <w:t>disclos</w:t>
      </w:r>
      <w:r w:rsidR="7D641865" w:rsidRPr="189E8366">
        <w:t>ed</w:t>
      </w:r>
      <w:r w:rsidR="00786EAD" w:rsidRPr="189E8366">
        <w:t xml:space="preserve"> decisions to withdraw from trade associations when</w:t>
      </w:r>
      <w:r w:rsidR="1B98429A" w:rsidRPr="189E8366">
        <w:t xml:space="preserve"> such</w:t>
      </w:r>
      <w:r w:rsidR="00786EAD" w:rsidRPr="189E8366">
        <w:t xml:space="preserve"> misalignments are not rectified</w:t>
      </w:r>
      <w:r w:rsidR="224E5BC8" w:rsidRPr="189E8366">
        <w:t xml:space="preserve"> over </w:t>
      </w:r>
      <w:proofErr w:type="gramStart"/>
      <w:r w:rsidR="224E5BC8" w:rsidRPr="189E8366">
        <w:t>a period of time</w:t>
      </w:r>
      <w:proofErr w:type="gramEnd"/>
      <w:r w:rsidR="007206B9" w:rsidRPr="189E8366">
        <w:t>.</w:t>
      </w:r>
      <w:r w:rsidR="007206B9" w:rsidRPr="189E8366">
        <w:rPr>
          <w:vertAlign w:val="superscript"/>
        </w:rPr>
        <w:footnoteReference w:id="29"/>
      </w:r>
      <w:r w:rsidR="007206B9" w:rsidRPr="189E8366">
        <w:t xml:space="preserve"> </w:t>
      </w:r>
    </w:p>
    <w:p w14:paraId="4E8E26F8" w14:textId="77777777" w:rsidR="00E52134" w:rsidRPr="00230330" w:rsidRDefault="00E52134" w:rsidP="189E8366">
      <w:pPr>
        <w:ind w:left="360"/>
        <w:jc w:val="center"/>
      </w:pPr>
      <w:r w:rsidRPr="189E8366">
        <w:rPr>
          <w:b/>
          <w:bCs/>
        </w:rPr>
        <w:t>*</w:t>
      </w:r>
      <w:r w:rsidRPr="189E8366">
        <w:t xml:space="preserve">  *  *</w:t>
      </w:r>
    </w:p>
    <w:p w14:paraId="102B587D" w14:textId="77777777" w:rsidR="00481258" w:rsidRPr="00230330" w:rsidRDefault="00481258" w:rsidP="00E52134">
      <w:pPr>
        <w:rPr>
          <w:rFonts w:cstheme="minorHAnsi"/>
          <w:highlight w:val="yellow"/>
        </w:rPr>
      </w:pPr>
    </w:p>
    <w:p w14:paraId="1A17CB14" w14:textId="3488F419" w:rsidR="00E4389E" w:rsidRDefault="00E4389E" w:rsidP="189E8366">
      <w:pPr>
        <w:rPr>
          <w:highlight w:val="yellow"/>
        </w:rPr>
      </w:pPr>
      <w:r>
        <w:t>Shareholders are urged to</w:t>
      </w:r>
      <w:r w:rsidR="00E52134">
        <w:t xml:space="preserve"> </w:t>
      </w:r>
      <w:r w:rsidR="00E52134" w:rsidRPr="3906D24F">
        <w:rPr>
          <w:b/>
          <w:bCs/>
        </w:rPr>
        <w:t xml:space="preserve">vote FOR Item </w:t>
      </w:r>
      <w:r w:rsidR="0A08BABD" w:rsidRPr="3906D24F">
        <w:rPr>
          <w:b/>
          <w:bCs/>
        </w:rPr>
        <w:t>7</w:t>
      </w:r>
      <w:r w:rsidR="00E52134">
        <w:t xml:space="preserve">, the proposal requesting </w:t>
      </w:r>
      <w:r w:rsidR="00786EAD">
        <w:t xml:space="preserve">that </w:t>
      </w:r>
      <w:r w:rsidR="00EC27F8">
        <w:t>Mondelez International</w:t>
      </w:r>
      <w:r w:rsidR="4E7D2BB6">
        <w:t xml:space="preserve"> </w:t>
      </w:r>
      <w:r w:rsidR="00786EAD">
        <w:t xml:space="preserve">annually conduct an evaluation and issue a report describing </w:t>
      </w:r>
      <w:r w:rsidR="26C59252">
        <w:t xml:space="preserve">if and how </w:t>
      </w:r>
      <w:r w:rsidR="00EC27F8">
        <w:t>Mondelez</w:t>
      </w:r>
      <w:r w:rsidR="26C59252">
        <w:t xml:space="preserve"> is aligning its lobbying and policy influence activities and positions, both direct and indirect, with its net-zero emissions by </w:t>
      </w:r>
      <w:r w:rsidR="00EC27F8">
        <w:t>2050</w:t>
      </w:r>
      <w:r w:rsidR="26C59252">
        <w:t xml:space="preserve"> target</w:t>
      </w:r>
      <w:r w:rsidR="00EC27F8">
        <w:t xml:space="preserve"> across its full chain</w:t>
      </w:r>
      <w:r w:rsidR="26C59252">
        <w:t>.</w:t>
      </w:r>
    </w:p>
    <w:p w14:paraId="695C1807" w14:textId="77777777" w:rsidR="00786EAD" w:rsidRPr="00230330" w:rsidRDefault="00786EAD" w:rsidP="00E52134">
      <w:pPr>
        <w:rPr>
          <w:rFonts w:cstheme="minorHAnsi"/>
          <w:highlight w:val="yellow"/>
        </w:rPr>
      </w:pPr>
    </w:p>
    <w:p w14:paraId="4F6007C5" w14:textId="77777777" w:rsidR="00E52134" w:rsidRPr="00786EAD" w:rsidRDefault="00E52134" w:rsidP="00E52134">
      <w:pPr>
        <w:rPr>
          <w:rFonts w:cstheme="minorHAnsi"/>
        </w:rPr>
      </w:pPr>
      <w:r w:rsidRPr="00786EAD">
        <w:rPr>
          <w:rFonts w:cstheme="minorHAnsi"/>
        </w:rPr>
        <w:t>Sincerely,</w:t>
      </w:r>
    </w:p>
    <w:p w14:paraId="3216E995" w14:textId="77777777" w:rsidR="00E52134" w:rsidRPr="00786EAD" w:rsidRDefault="00E52134" w:rsidP="00E52134">
      <w:pPr>
        <w:rPr>
          <w:rFonts w:cstheme="minorHAnsi"/>
        </w:rPr>
      </w:pPr>
    </w:p>
    <w:p w14:paraId="340BCAE0" w14:textId="5B94B809" w:rsidR="00E52134" w:rsidRPr="00786EAD" w:rsidRDefault="00EC27F8" w:rsidP="00E52134">
      <w:pPr>
        <w:rPr>
          <w:rFonts w:cstheme="minorHAnsi"/>
        </w:rPr>
      </w:pPr>
      <w:r>
        <w:rPr>
          <w:rFonts w:cstheme="minorHAnsi"/>
        </w:rPr>
        <w:t xml:space="preserve">John </w:t>
      </w:r>
      <w:proofErr w:type="spellStart"/>
      <w:r>
        <w:rPr>
          <w:rFonts w:cstheme="minorHAnsi"/>
        </w:rPr>
        <w:t>Chevedden</w:t>
      </w:r>
      <w:proofErr w:type="spellEnd"/>
    </w:p>
    <w:p w14:paraId="6D075D2B" w14:textId="14954561" w:rsidR="00E52134" w:rsidRDefault="00E52134" w:rsidP="3906D24F">
      <w:r w:rsidRPr="3906D24F">
        <w:t>Shareholder</w:t>
      </w:r>
    </w:p>
    <w:sectPr w:rsidR="00E52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79E5" w14:textId="77777777" w:rsidR="00284163" w:rsidRDefault="00284163" w:rsidP="007206B9">
      <w:r>
        <w:separator/>
      </w:r>
    </w:p>
  </w:endnote>
  <w:endnote w:type="continuationSeparator" w:id="0">
    <w:p w14:paraId="16139B37" w14:textId="77777777" w:rsidR="00284163" w:rsidRDefault="00284163" w:rsidP="0072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2728" w14:textId="77777777" w:rsidR="00284163" w:rsidRDefault="00284163" w:rsidP="007206B9">
      <w:r>
        <w:separator/>
      </w:r>
    </w:p>
  </w:footnote>
  <w:footnote w:type="continuationSeparator" w:id="0">
    <w:p w14:paraId="2F829620" w14:textId="77777777" w:rsidR="00284163" w:rsidRDefault="00284163" w:rsidP="007206B9">
      <w:r>
        <w:continuationSeparator/>
      </w:r>
    </w:p>
  </w:footnote>
  <w:footnote w:id="1">
    <w:p w14:paraId="3E480979" w14:textId="1C19E637" w:rsidR="009E5BB5" w:rsidRDefault="009E5BB5">
      <w:pPr>
        <w:pStyle w:val="FootnoteText"/>
      </w:pPr>
      <w:r>
        <w:rPr>
          <w:rStyle w:val="FootnoteReference"/>
        </w:rPr>
        <w:footnoteRef/>
      </w:r>
      <w:r>
        <w:t xml:space="preserve"> </w:t>
      </w:r>
      <w:hyperlink r:id="rId1" w:history="1">
        <w:r w:rsidRPr="004522FE">
          <w:rPr>
            <w:rStyle w:val="Hyperlink"/>
          </w:rPr>
          <w:t>https://ir.mondelezinternational.com/news-releases/news-release-details/mondelez-internationals-near-term-2030-targets-and-2050-net-zero</w:t>
        </w:r>
      </w:hyperlink>
      <w:r>
        <w:t xml:space="preserve"> </w:t>
      </w:r>
    </w:p>
  </w:footnote>
  <w:footnote w:id="2">
    <w:p w14:paraId="7E3984BD" w14:textId="2791AB8B" w:rsidR="009E5BB5" w:rsidRDefault="009E5BB5">
      <w:pPr>
        <w:pStyle w:val="FootnoteText"/>
      </w:pPr>
      <w:r>
        <w:rPr>
          <w:rStyle w:val="FootnoteReference"/>
        </w:rPr>
        <w:footnoteRef/>
      </w:r>
      <w:r>
        <w:t xml:space="preserve"> </w:t>
      </w:r>
      <w:r w:rsidR="00B409FE">
        <w:t>See p</w:t>
      </w:r>
      <w:r>
        <w:t>g. 21 of Mondelez International’s 202</w:t>
      </w:r>
      <w:r w:rsidR="00B96C9A">
        <w:t>4</w:t>
      </w:r>
      <w:r>
        <w:t xml:space="preserve"> </w:t>
      </w:r>
      <w:r w:rsidR="00B96C9A">
        <w:t xml:space="preserve">Form </w:t>
      </w:r>
      <w:r>
        <w:t xml:space="preserve">10-K at </w:t>
      </w:r>
      <w:hyperlink r:id="rId2" w:history="1">
        <w:r w:rsidRPr="004522FE">
          <w:rPr>
            <w:rStyle w:val="Hyperlink"/>
          </w:rPr>
          <w:t>https://www.sec.gov/ix?doc=/Archives/edgar/data/0001103982/000110398225000030/mdlz-20241231.htm</w:t>
        </w:r>
      </w:hyperlink>
      <w:r>
        <w:t xml:space="preserve"> </w:t>
      </w:r>
    </w:p>
  </w:footnote>
  <w:footnote w:id="3">
    <w:p w14:paraId="69558A82" w14:textId="46B1A0DE" w:rsidR="00254007" w:rsidRDefault="00254007">
      <w:pPr>
        <w:pStyle w:val="FootnoteText"/>
      </w:pPr>
      <w:r>
        <w:rPr>
          <w:rStyle w:val="FootnoteReference"/>
        </w:rPr>
        <w:footnoteRef/>
      </w:r>
      <w:r>
        <w:t xml:space="preserve"> </w:t>
      </w:r>
      <w:hyperlink r:id="rId3">
        <w:r w:rsidRPr="5FD7FCB6">
          <w:rPr>
            <w:rStyle w:val="Hyperlink"/>
          </w:rPr>
          <w:t>https://www.opensecrets.org/orgs/mondelez-international/summary?id=D000067057</w:t>
        </w:r>
      </w:hyperlink>
      <w:r>
        <w:t xml:space="preserve"> </w:t>
      </w:r>
    </w:p>
  </w:footnote>
  <w:footnote w:id="4">
    <w:p w14:paraId="4203E029" w14:textId="1275EE24" w:rsidR="00B409FE" w:rsidRDefault="00B409FE" w:rsidP="00B409FE">
      <w:pPr>
        <w:pStyle w:val="FootnoteText"/>
      </w:pPr>
      <w:r>
        <w:rPr>
          <w:rStyle w:val="FootnoteReference"/>
        </w:rPr>
        <w:footnoteRef/>
      </w:r>
      <w:r>
        <w:t xml:space="preserve"> See pg. </w:t>
      </w:r>
      <w:r w:rsidR="00E474C0">
        <w:t>21</w:t>
      </w:r>
      <w:r>
        <w:t xml:space="preserve"> </w:t>
      </w:r>
      <w:r w:rsidR="002C01FB">
        <w:t xml:space="preserve">and pg. 119 </w:t>
      </w:r>
      <w:r>
        <w:t xml:space="preserve">of Mondelez International’s 2024 Form 10-K at </w:t>
      </w:r>
      <w:hyperlink r:id="rId4" w:history="1">
        <w:r w:rsidRPr="004522FE">
          <w:rPr>
            <w:rStyle w:val="Hyperlink"/>
          </w:rPr>
          <w:t>https://www.sec.gov/ix?doc=/Archives/edgar/data/0001103982/000110398225000030/mdlz-20241231.htm</w:t>
        </w:r>
      </w:hyperlink>
      <w:r>
        <w:t xml:space="preserve"> </w:t>
      </w:r>
    </w:p>
    <w:p w14:paraId="024DC47E" w14:textId="29BB6D32" w:rsidR="00B409FE" w:rsidRDefault="00B409FE">
      <w:pPr>
        <w:pStyle w:val="FootnoteText"/>
      </w:pPr>
      <w:r>
        <w:t xml:space="preserve"> </w:t>
      </w:r>
    </w:p>
  </w:footnote>
  <w:footnote w:id="5">
    <w:p w14:paraId="3E38FFF5" w14:textId="34A86326" w:rsidR="3906D24F" w:rsidRDefault="3906D24F" w:rsidP="3906D24F">
      <w:pPr>
        <w:pStyle w:val="FootnoteText"/>
      </w:pPr>
      <w:r w:rsidRPr="3906D24F">
        <w:rPr>
          <w:rStyle w:val="FootnoteReference"/>
        </w:rPr>
        <w:footnoteRef/>
      </w:r>
      <w:r>
        <w:t xml:space="preserve"> See letter from MDLZ’s Chair and CEO, Dirk Van de Put, on pg. 1 of MDLZ’s 2024 Proxy Statement at </w:t>
      </w:r>
      <w:hyperlink r:id="rId5">
        <w:r w:rsidRPr="3906D24F">
          <w:rPr>
            <w:rStyle w:val="Hyperlink"/>
          </w:rPr>
          <w:t>https://www.sec.gov/ix?doc=/Archives/edgar/data/0001103982/000130817924000465/lmdlz2024_def14a.htm</w:t>
        </w:r>
      </w:hyperlink>
      <w:r w:rsidRPr="3906D24F">
        <w:t xml:space="preserve"> </w:t>
      </w:r>
    </w:p>
  </w:footnote>
  <w:footnote w:id="6">
    <w:p w14:paraId="33B9E4C0" w14:textId="205C18E1" w:rsidR="00E25B72" w:rsidRDefault="00E25B72">
      <w:pPr>
        <w:pStyle w:val="FootnoteText"/>
      </w:pPr>
      <w:r>
        <w:rPr>
          <w:rStyle w:val="FootnoteReference"/>
        </w:rPr>
        <w:footnoteRef/>
      </w:r>
      <w:r>
        <w:t xml:space="preserve"> </w:t>
      </w:r>
      <w:hyperlink r:id="rId6" w:history="1">
        <w:r w:rsidRPr="004A3E31">
          <w:rPr>
            <w:rStyle w:val="Hyperlink"/>
          </w:rPr>
          <w:t>https://nca2023.globalchange.gov/chapter/11/</w:t>
        </w:r>
      </w:hyperlink>
      <w:r>
        <w:t xml:space="preserve"> </w:t>
      </w:r>
    </w:p>
  </w:footnote>
  <w:footnote w:id="7">
    <w:p w14:paraId="2396F5EA" w14:textId="073AD2BF" w:rsidR="3906D24F" w:rsidRDefault="3906D24F" w:rsidP="3906D24F">
      <w:pPr>
        <w:pStyle w:val="FootnoteText"/>
      </w:pPr>
      <w:r w:rsidRPr="3906D24F">
        <w:rPr>
          <w:rStyle w:val="FootnoteReference"/>
        </w:rPr>
        <w:footnoteRef/>
      </w:r>
      <w:r>
        <w:t xml:space="preserve"> State: </w:t>
      </w:r>
      <w:hyperlink r:id="rId7">
        <w:r w:rsidRPr="3906D24F">
          <w:rPr>
            <w:rStyle w:val="Hyperlink"/>
          </w:rPr>
          <w:t>https://www.courthousenews.com/judge-dismisses-in-part-us-chamber-of-commerce-lawsuit-over-california-climate-laws/</w:t>
        </w:r>
      </w:hyperlink>
      <w:r w:rsidRPr="3906D24F">
        <w:t xml:space="preserve"> Federal: </w:t>
      </w:r>
      <w:hyperlink r:id="rId8">
        <w:r w:rsidRPr="3906D24F">
          <w:rPr>
            <w:rStyle w:val="Hyperlink"/>
          </w:rPr>
          <w:t>https://www.nytimes.com/2025/03/02/climate/trump-us-climate-policy-changes.html</w:t>
        </w:r>
      </w:hyperlink>
      <w:r w:rsidRPr="3906D24F">
        <w:t xml:space="preserve"> and International: </w:t>
      </w:r>
      <w:hyperlink r:id="rId9">
        <w:r w:rsidRPr="3906D24F">
          <w:rPr>
            <w:rStyle w:val="Hyperlink"/>
          </w:rPr>
          <w:t>https://www.ft.com/content/f5e59ab2-349b-42e5-ba3f-473f92684449</w:t>
        </w:r>
      </w:hyperlink>
      <w:r w:rsidRPr="3906D24F">
        <w:t xml:space="preserve"> </w:t>
      </w:r>
    </w:p>
  </w:footnote>
  <w:footnote w:id="8">
    <w:p w14:paraId="45A6A918" w14:textId="6DFF2FA8" w:rsidR="3906D24F" w:rsidRDefault="3906D24F" w:rsidP="3906D24F">
      <w:pPr>
        <w:pStyle w:val="FootnoteText"/>
      </w:pPr>
      <w:r w:rsidRPr="3906D24F">
        <w:rPr>
          <w:rStyle w:val="FootnoteReference"/>
        </w:rPr>
        <w:footnoteRef/>
      </w:r>
      <w:r>
        <w:t xml:space="preserve"> </w:t>
      </w:r>
      <w:hyperlink r:id="rId10">
        <w:r w:rsidRPr="3906D24F">
          <w:rPr>
            <w:rStyle w:val="Hyperlink"/>
          </w:rPr>
          <w:t>https://www.wbcsd.org/resources/sowing-change-eu-policy-opportunities-to-scale-regenerative-agriculture/</w:t>
        </w:r>
      </w:hyperlink>
      <w:r w:rsidRPr="3906D24F">
        <w:t xml:space="preserve"> </w:t>
      </w:r>
    </w:p>
  </w:footnote>
  <w:footnote w:id="9">
    <w:p w14:paraId="42107352" w14:textId="571005DA" w:rsidR="3906D24F" w:rsidRDefault="3906D24F" w:rsidP="3906D24F">
      <w:pPr>
        <w:pStyle w:val="FootnoteText"/>
      </w:pPr>
      <w:r w:rsidRPr="3906D24F">
        <w:rPr>
          <w:rStyle w:val="FootnoteReference"/>
        </w:rPr>
        <w:footnoteRef/>
      </w:r>
      <w:r>
        <w:t xml:space="preserve"> </w:t>
      </w:r>
      <w:hyperlink r:id="rId11">
        <w:r w:rsidRPr="3906D24F">
          <w:rPr>
            <w:rStyle w:val="Hyperlink"/>
          </w:rPr>
          <w:t>https://www.opensecrets.org/federal-lobbying/clients/summary?cycle=2024&amp;id=D000067057</w:t>
        </w:r>
      </w:hyperlink>
      <w:r w:rsidRPr="3906D24F">
        <w:t xml:space="preserve"> </w:t>
      </w:r>
    </w:p>
  </w:footnote>
  <w:footnote w:id="10">
    <w:p w14:paraId="4E3CA1C6" w14:textId="31414F8E" w:rsidR="3906D24F" w:rsidRDefault="3906D24F" w:rsidP="3906D24F">
      <w:pPr>
        <w:pStyle w:val="FootnoteText"/>
      </w:pPr>
      <w:r w:rsidRPr="3906D24F">
        <w:rPr>
          <w:rStyle w:val="FootnoteReference"/>
        </w:rPr>
        <w:footnoteRef/>
      </w:r>
      <w:r>
        <w:t xml:space="preserve"> </w:t>
      </w:r>
      <w:hyperlink r:id="rId12">
        <w:r w:rsidRPr="3906D24F">
          <w:rPr>
            <w:rStyle w:val="Hyperlink"/>
          </w:rPr>
          <w:t>https://www.usda.gov/about-usda/news/press-releases/2023/02/13/biden-harris-administration-announces-availability-inflation-reduction-act-funding-climate-smart</w:t>
        </w:r>
      </w:hyperlink>
      <w:r w:rsidRPr="3906D24F">
        <w:t xml:space="preserve"> </w:t>
      </w:r>
    </w:p>
  </w:footnote>
  <w:footnote w:id="11">
    <w:p w14:paraId="675F8B36" w14:textId="645CB81D" w:rsidR="3906D24F" w:rsidRDefault="3906D24F" w:rsidP="3906D24F">
      <w:pPr>
        <w:pStyle w:val="FootnoteText"/>
      </w:pPr>
      <w:r w:rsidRPr="3906D24F">
        <w:rPr>
          <w:rStyle w:val="FootnoteReference"/>
        </w:rPr>
        <w:footnoteRef/>
      </w:r>
      <w:r>
        <w:t xml:space="preserve"> </w:t>
      </w:r>
      <w:hyperlink r:id="rId13">
        <w:r w:rsidRPr="3906D24F">
          <w:rPr>
            <w:rStyle w:val="Hyperlink"/>
          </w:rPr>
          <w:t>https://www.foodmanufacture.co.uk/Article/2024/06/03/How-Mondelez-is-defining-regenerative-farming/</w:t>
        </w:r>
      </w:hyperlink>
      <w:r w:rsidRPr="3906D24F">
        <w:t xml:space="preserve"> </w:t>
      </w:r>
    </w:p>
  </w:footnote>
  <w:footnote w:id="12">
    <w:p w14:paraId="2757F2CE" w14:textId="2A2F3586" w:rsidR="3906D24F" w:rsidRDefault="3906D24F" w:rsidP="3906D24F">
      <w:pPr>
        <w:pStyle w:val="FootnoteText"/>
      </w:pPr>
      <w:r w:rsidRPr="3906D24F">
        <w:rPr>
          <w:rStyle w:val="FootnoteReference"/>
        </w:rPr>
        <w:footnoteRef/>
      </w:r>
      <w:r>
        <w:t xml:space="preserve"> See Macroeconomic and Industry Risks on pg. 20 of Mondelez International’s 2024 10-K at </w:t>
      </w:r>
      <w:hyperlink r:id="rId14">
        <w:r w:rsidRPr="3906D24F">
          <w:rPr>
            <w:rStyle w:val="Hyperlink"/>
          </w:rPr>
          <w:t>https://www.sec.gov/ix?doc=/Archives/edgar/data/0001103982/000110398225000030/mdlz-20241231.htm</w:t>
        </w:r>
      </w:hyperlink>
      <w:r w:rsidRPr="3906D24F">
        <w:t xml:space="preserve"> </w:t>
      </w:r>
    </w:p>
  </w:footnote>
  <w:footnote w:id="13">
    <w:p w14:paraId="53AFF0B5" w14:textId="760982D4" w:rsidR="3906D24F" w:rsidRDefault="3906D24F" w:rsidP="3906D24F">
      <w:pPr>
        <w:pStyle w:val="FootnoteText"/>
      </w:pPr>
      <w:r w:rsidRPr="3906D24F">
        <w:rPr>
          <w:rStyle w:val="FootnoteReference"/>
        </w:rPr>
        <w:footnoteRef/>
      </w:r>
      <w:r>
        <w:t xml:space="preserve"> </w:t>
      </w:r>
      <w:hyperlink r:id="rId15">
        <w:r w:rsidRPr="3906D24F">
          <w:rPr>
            <w:rStyle w:val="Hyperlink"/>
          </w:rPr>
          <w:t>https://www.mondelezinternational.com/assets/Snacking-Made-Right/SMR-Report/2023/Mondelez_International_CDP_Response_2023.pdf</w:t>
        </w:r>
      </w:hyperlink>
      <w:r w:rsidRPr="3906D24F">
        <w:t xml:space="preserve"> </w:t>
      </w:r>
    </w:p>
  </w:footnote>
  <w:footnote w:id="14">
    <w:p w14:paraId="48291EA2" w14:textId="65DC1FA7" w:rsidR="3906D24F" w:rsidRDefault="3906D24F" w:rsidP="3906D24F">
      <w:pPr>
        <w:pStyle w:val="FootnoteText"/>
      </w:pPr>
      <w:r w:rsidRPr="3906D24F">
        <w:rPr>
          <w:rStyle w:val="FootnoteReference"/>
        </w:rPr>
        <w:footnoteRef/>
      </w:r>
      <w:r>
        <w:t xml:space="preserve"> </w:t>
      </w:r>
      <w:hyperlink r:id="rId16">
        <w:r w:rsidRPr="3906D24F">
          <w:rPr>
            <w:rStyle w:val="Hyperlink"/>
          </w:rPr>
          <w:t>https://www.generalmills.com/how-we-make-it/building-strong-communities/civic-involvement/civic-policy</w:t>
        </w:r>
      </w:hyperlink>
      <w:r w:rsidRPr="3906D24F">
        <w:t xml:space="preserve"> </w:t>
      </w:r>
    </w:p>
  </w:footnote>
  <w:footnote w:id="15">
    <w:p w14:paraId="1C8FDEC2" w14:textId="6B059742" w:rsidR="3906D24F" w:rsidRDefault="3906D24F" w:rsidP="3906D24F">
      <w:pPr>
        <w:pStyle w:val="FootnoteText"/>
      </w:pPr>
      <w:r w:rsidRPr="3906D24F">
        <w:rPr>
          <w:rStyle w:val="FootnoteReference"/>
        </w:rPr>
        <w:footnoteRef/>
      </w:r>
      <w:r>
        <w:t xml:space="preserve"> See Unilever’s response to item C12.3 of the 2023 CDP Climate Change Questionnaire on pg. 340-343 at </w:t>
      </w:r>
      <w:hyperlink r:id="rId17">
        <w:r w:rsidRPr="3906D24F">
          <w:rPr>
            <w:rStyle w:val="Hyperlink"/>
          </w:rPr>
          <w:t>https://www.unilever.com/files/unilever-cdp-climate-change-questionnaire-2023.pdf</w:t>
        </w:r>
      </w:hyperlink>
      <w:r w:rsidRPr="3906D24F">
        <w:t xml:space="preserve"> </w:t>
      </w:r>
    </w:p>
  </w:footnote>
  <w:footnote w:id="16">
    <w:p w14:paraId="4BDD8B73" w14:textId="7F4EEA02" w:rsidR="3906D24F" w:rsidRDefault="3906D24F" w:rsidP="3906D24F">
      <w:pPr>
        <w:pStyle w:val="FootnoteText"/>
      </w:pPr>
      <w:r w:rsidRPr="3906D24F">
        <w:rPr>
          <w:rStyle w:val="FootnoteReference"/>
        </w:rPr>
        <w:footnoteRef/>
      </w:r>
      <w:r>
        <w:t xml:space="preserve"> </w:t>
      </w:r>
      <w:hyperlink r:id="rId18">
        <w:r w:rsidRPr="3906D24F">
          <w:rPr>
            <w:rStyle w:val="Hyperlink"/>
          </w:rPr>
          <w:t>https://www.generalmills.com/how-we-make-it/building-strong-communities/civic-involvement/public-policy-engagement</w:t>
        </w:r>
      </w:hyperlink>
      <w:r w:rsidRPr="3906D24F">
        <w:t xml:space="preserve"> </w:t>
      </w:r>
    </w:p>
  </w:footnote>
  <w:footnote w:id="17">
    <w:p w14:paraId="62798391" w14:textId="11C0AE91" w:rsidR="3906D24F" w:rsidRDefault="3906D24F" w:rsidP="3906D24F">
      <w:pPr>
        <w:pStyle w:val="FootnoteText"/>
      </w:pPr>
      <w:r w:rsidRPr="3906D24F">
        <w:rPr>
          <w:rStyle w:val="FootnoteReference"/>
        </w:rPr>
        <w:footnoteRef/>
      </w:r>
      <w:r>
        <w:t xml:space="preserve"> </w:t>
      </w:r>
      <w:hyperlink r:id="rId19">
        <w:r w:rsidRPr="3906D24F">
          <w:rPr>
            <w:rStyle w:val="Hyperlink"/>
          </w:rPr>
          <w:t>https://www.unilever.com/files/unilever-climate-policy-engagement-review.pdf</w:t>
        </w:r>
      </w:hyperlink>
      <w:r w:rsidRPr="3906D24F">
        <w:t xml:space="preserve"> </w:t>
      </w:r>
    </w:p>
  </w:footnote>
  <w:footnote w:id="18">
    <w:p w14:paraId="4D980883" w14:textId="4EBF73E4" w:rsidR="3906D24F" w:rsidRDefault="3906D24F" w:rsidP="3906D24F">
      <w:pPr>
        <w:pStyle w:val="FootnoteText"/>
      </w:pPr>
      <w:r w:rsidRPr="3906D24F">
        <w:rPr>
          <w:rStyle w:val="FootnoteReference"/>
        </w:rPr>
        <w:footnoteRef/>
      </w:r>
      <w:r>
        <w:t xml:space="preserve"> See pg. 69-73 of Apple’s 2024 Environmental Progress Report at </w:t>
      </w:r>
      <w:hyperlink r:id="rId20">
        <w:r w:rsidRPr="3906D24F">
          <w:rPr>
            <w:rStyle w:val="Hyperlink"/>
          </w:rPr>
          <w:t>https://www.apple.com/environment/pdf/Apple_Environmental_Progress_Report_2024.pdf</w:t>
        </w:r>
      </w:hyperlink>
      <w:r w:rsidRPr="3906D24F">
        <w:t xml:space="preserve"> and Apple’s disclosure to item 4.11 in its 2024 CDP Climate Change Questionnaire at </w:t>
      </w:r>
      <w:hyperlink r:id="rId21">
        <w:r w:rsidRPr="3906D24F">
          <w:rPr>
            <w:rStyle w:val="Hyperlink"/>
          </w:rPr>
          <w:t>https://www.apple.com/environment/pdf/Apple_CDP-Climate-Change-Questionnaire_2024.pdf</w:t>
        </w:r>
      </w:hyperlink>
      <w:r w:rsidRPr="3906D24F">
        <w:t xml:space="preserve"> </w:t>
      </w:r>
    </w:p>
  </w:footnote>
  <w:footnote w:id="19">
    <w:p w14:paraId="5826109A" w14:textId="00AFA5B7" w:rsidR="3906D24F" w:rsidRDefault="3906D24F" w:rsidP="3906D24F">
      <w:pPr>
        <w:pStyle w:val="FootnoteText"/>
      </w:pPr>
      <w:r w:rsidRPr="3906D24F">
        <w:rPr>
          <w:rStyle w:val="FootnoteReference"/>
        </w:rPr>
        <w:footnoteRef/>
      </w:r>
      <w:r>
        <w:t xml:space="preserve"> </w:t>
      </w:r>
      <w:hyperlink r:id="rId22">
        <w:r w:rsidRPr="3906D24F">
          <w:rPr>
            <w:rStyle w:val="Hyperlink"/>
          </w:rPr>
          <w:t>https://esghub.delta.com/content/esg/en/2023/2023-climate-lobbying.html</w:t>
        </w:r>
      </w:hyperlink>
      <w:r w:rsidRPr="3906D24F">
        <w:t xml:space="preserve"> </w:t>
      </w:r>
    </w:p>
  </w:footnote>
  <w:footnote w:id="20">
    <w:p w14:paraId="25FE21D7" w14:textId="551E614E" w:rsidR="189E8366" w:rsidRDefault="189E8366" w:rsidP="189E8366">
      <w:pPr>
        <w:pStyle w:val="FootnoteText"/>
      </w:pPr>
      <w:r w:rsidRPr="189E8366">
        <w:rPr>
          <w:rStyle w:val="FootnoteReference"/>
        </w:rPr>
        <w:footnoteRef/>
      </w:r>
      <w:r>
        <w:t xml:space="preserve"> See the ’Lobbying Practices Related to Climate Change’ section at </w:t>
      </w:r>
      <w:hyperlink r:id="rId23">
        <w:r w:rsidRPr="189E8366">
          <w:rPr>
            <w:rStyle w:val="Hyperlink"/>
          </w:rPr>
          <w:t>https://www.pepsico.com/our-impact/esg-topics-a-z/public-policy-engagement-political-activities-and-contribution-guidelines</w:t>
        </w:r>
      </w:hyperlink>
      <w:r>
        <w:t xml:space="preserve"> </w:t>
      </w:r>
    </w:p>
    <w:p w14:paraId="1E2F2185" w14:textId="5B6A75C2" w:rsidR="189E8366" w:rsidRDefault="189E8366" w:rsidP="189E8366">
      <w:pPr>
        <w:pStyle w:val="FootnoteText"/>
      </w:pPr>
      <w:r>
        <w:t xml:space="preserve"> </w:t>
      </w:r>
    </w:p>
  </w:footnote>
  <w:footnote w:id="21">
    <w:p w14:paraId="5E71645D" w14:textId="5BAA370F" w:rsidR="3906D24F" w:rsidRDefault="3906D24F" w:rsidP="3906D24F">
      <w:pPr>
        <w:pStyle w:val="FootnoteText"/>
      </w:pPr>
      <w:r w:rsidRPr="3906D24F">
        <w:rPr>
          <w:rStyle w:val="FootnoteReference"/>
        </w:rPr>
        <w:footnoteRef/>
      </w:r>
      <w:r>
        <w:t xml:space="preserve"> </w:t>
      </w:r>
      <w:hyperlink r:id="rId24">
        <w:r w:rsidRPr="3906D24F">
          <w:rPr>
            <w:rStyle w:val="Hyperlink"/>
          </w:rPr>
          <w:t>https://investor.honeywell.com/static-files/8fcf82b8-9576-4cd0-a555-a75883618f71</w:t>
        </w:r>
      </w:hyperlink>
      <w:r w:rsidRPr="3906D24F">
        <w:t xml:space="preserve"> </w:t>
      </w:r>
    </w:p>
  </w:footnote>
  <w:footnote w:id="22">
    <w:p w14:paraId="5FA5BEF5" w14:textId="7123C122" w:rsidR="3906D24F" w:rsidRDefault="3906D24F" w:rsidP="3906D24F">
      <w:pPr>
        <w:pStyle w:val="FootnoteText"/>
        <w:rPr>
          <w:lang w:val="es-ES"/>
        </w:rPr>
      </w:pPr>
      <w:r w:rsidRPr="3906D24F">
        <w:rPr>
          <w:rStyle w:val="FootnoteReference"/>
        </w:rPr>
        <w:footnoteRef/>
      </w:r>
      <w:r w:rsidRPr="3906D24F">
        <w:rPr>
          <w:lang w:val="es-ES"/>
        </w:rPr>
        <w:t xml:space="preserve"> </w:t>
      </w:r>
      <w:hyperlink r:id="rId25">
        <w:r w:rsidRPr="3906D24F">
          <w:rPr>
            <w:rStyle w:val="Hyperlink"/>
            <w:lang w:val="es-ES"/>
          </w:rPr>
          <w:t>https://www.bp.com/en/global/corporate/sustainability/our-approach-to-sustainability/policy-and-advocacy.html</w:t>
        </w:r>
      </w:hyperlink>
      <w:r w:rsidRPr="3906D24F">
        <w:rPr>
          <w:lang w:val="es-ES"/>
        </w:rPr>
        <w:t xml:space="preserve"> </w:t>
      </w:r>
    </w:p>
  </w:footnote>
  <w:footnote w:id="23">
    <w:p w14:paraId="0FFC0F9B" w14:textId="712C8EEF" w:rsidR="3906D24F" w:rsidRDefault="3906D24F" w:rsidP="3906D24F">
      <w:pPr>
        <w:pStyle w:val="FootnoteText"/>
      </w:pPr>
      <w:r w:rsidRPr="3906D24F">
        <w:rPr>
          <w:rStyle w:val="FootnoteReference"/>
        </w:rPr>
        <w:footnoteRef/>
      </w:r>
      <w:r>
        <w:t xml:space="preserve"> </w:t>
      </w:r>
      <w:hyperlink r:id="rId26">
        <w:r w:rsidRPr="3906D24F">
          <w:rPr>
            <w:rStyle w:val="Hyperlink"/>
          </w:rPr>
          <w:t>https://www.microsoft.com/en-us/corporate-responsibility/public-policy-engagement</w:t>
        </w:r>
      </w:hyperlink>
      <w:r w:rsidRPr="3906D24F">
        <w:t xml:space="preserve"> </w:t>
      </w:r>
    </w:p>
    <w:p w14:paraId="09A80376" w14:textId="144FA9A2" w:rsidR="3906D24F" w:rsidRDefault="3906D24F" w:rsidP="3906D24F">
      <w:pPr>
        <w:pStyle w:val="FootnoteText"/>
      </w:pPr>
    </w:p>
  </w:footnote>
  <w:footnote w:id="24">
    <w:p w14:paraId="7F404DCC" w14:textId="37C626A5" w:rsidR="3906D24F" w:rsidRDefault="3906D24F" w:rsidP="3906D24F">
      <w:pPr>
        <w:pStyle w:val="FootnoteText"/>
      </w:pPr>
      <w:r w:rsidRPr="3906D24F">
        <w:rPr>
          <w:rStyle w:val="FootnoteReference"/>
        </w:rPr>
        <w:footnoteRef/>
      </w:r>
      <w:r>
        <w:t xml:space="preserve"> </w:t>
      </w:r>
      <w:hyperlink r:id="rId27">
        <w:r w:rsidRPr="3906D24F">
          <w:rPr>
            <w:rStyle w:val="Hyperlink"/>
          </w:rPr>
          <w:t>https://www.csx.com/share/wwwcsx15/assets/File/About_Us/CSX-Industry-Association-and-Climate-Review-final.pdf</w:t>
        </w:r>
      </w:hyperlink>
      <w:r>
        <w:t xml:space="preserve"> </w:t>
      </w:r>
    </w:p>
    <w:p w14:paraId="060A8A53" w14:textId="3987C298" w:rsidR="3906D24F" w:rsidRDefault="3906D24F" w:rsidP="3906D24F">
      <w:pPr>
        <w:pStyle w:val="FootnoteText"/>
      </w:pPr>
    </w:p>
  </w:footnote>
  <w:footnote w:id="25">
    <w:p w14:paraId="3D57414B" w14:textId="6FC100F4" w:rsidR="3906D24F" w:rsidRDefault="3906D24F" w:rsidP="3906D24F">
      <w:pPr>
        <w:pStyle w:val="FootnoteText"/>
      </w:pPr>
      <w:r w:rsidRPr="3906D24F">
        <w:rPr>
          <w:rStyle w:val="FootnoteReference"/>
        </w:rPr>
        <w:footnoteRef/>
      </w:r>
      <w:r>
        <w:t xml:space="preserve"> </w:t>
      </w:r>
      <w:hyperlink r:id="rId28">
        <w:r w:rsidRPr="3906D24F">
          <w:rPr>
            <w:rStyle w:val="Hyperlink"/>
          </w:rPr>
          <w:t>https://corporate.ford.com/content/dam/corporate/us/en-us/documents/reports/Political-Disclosure-Report-2023.pdf</w:t>
        </w:r>
      </w:hyperlink>
      <w:r w:rsidRPr="3906D24F">
        <w:t xml:space="preserve"> </w:t>
      </w:r>
    </w:p>
  </w:footnote>
  <w:footnote w:id="26">
    <w:p w14:paraId="0100B5B1" w14:textId="69A74718" w:rsidR="3906D24F" w:rsidRDefault="3906D24F" w:rsidP="3906D24F">
      <w:pPr>
        <w:pStyle w:val="FootnoteText"/>
      </w:pPr>
      <w:r w:rsidRPr="3906D24F">
        <w:rPr>
          <w:rStyle w:val="FootnoteReference"/>
        </w:rPr>
        <w:footnoteRef/>
      </w:r>
      <w:r>
        <w:t xml:space="preserve"> </w:t>
      </w:r>
      <w:hyperlink r:id="rId29">
        <w:r w:rsidRPr="3906D24F">
          <w:rPr>
            <w:rStyle w:val="Hyperlink"/>
          </w:rPr>
          <w:t>https://investor.gm.com/static-files/210fa676-989e-4703-a4a5-8ff5bc5599a3</w:t>
        </w:r>
      </w:hyperlink>
      <w:r w:rsidRPr="3906D24F">
        <w:t xml:space="preserve"> </w:t>
      </w:r>
    </w:p>
  </w:footnote>
  <w:footnote w:id="27">
    <w:p w14:paraId="215A58CB" w14:textId="0E873507" w:rsidR="3906D24F" w:rsidRDefault="3906D24F" w:rsidP="3906D24F">
      <w:pPr>
        <w:pStyle w:val="FootnoteText"/>
        <w:rPr>
          <w:lang w:val="es-ES"/>
        </w:rPr>
      </w:pPr>
      <w:r w:rsidRPr="3906D24F">
        <w:rPr>
          <w:rStyle w:val="FootnoteReference"/>
        </w:rPr>
        <w:footnoteRef/>
      </w:r>
      <w:r w:rsidRPr="3906D24F">
        <w:rPr>
          <w:lang w:val="es-ES"/>
        </w:rPr>
        <w:t xml:space="preserve"> </w:t>
      </w:r>
      <w:hyperlink r:id="rId30">
        <w:r w:rsidRPr="3906D24F">
          <w:rPr>
            <w:rStyle w:val="Hyperlink"/>
            <w:lang w:val="es-ES"/>
          </w:rPr>
          <w:t>https://reports.shell.com/climate-and-energy-transition-lobbying-report/2023/</w:t>
        </w:r>
      </w:hyperlink>
      <w:r w:rsidRPr="3906D24F">
        <w:rPr>
          <w:lang w:val="es-ES"/>
        </w:rPr>
        <w:t xml:space="preserve"> </w:t>
      </w:r>
    </w:p>
  </w:footnote>
  <w:footnote w:id="28">
    <w:p w14:paraId="48146348" w14:textId="35E8D12B" w:rsidR="00C81381" w:rsidRDefault="00C81381">
      <w:pPr>
        <w:pStyle w:val="FootnoteText"/>
      </w:pPr>
      <w:r>
        <w:rPr>
          <w:rStyle w:val="FootnoteReference"/>
        </w:rPr>
        <w:footnoteRef/>
      </w:r>
      <w:r>
        <w:t xml:space="preserve"> </w:t>
      </w:r>
      <w:hyperlink r:id="rId31" w:history="1">
        <w:r w:rsidR="00786EAD" w:rsidRPr="00CA1B07">
          <w:rPr>
            <w:rStyle w:val="Hyperlink"/>
          </w:rPr>
          <w:t>https://www.iccr.org/reports/leading-lobbying-practices-to-drive-1-5c-policy-action/</w:t>
        </w:r>
      </w:hyperlink>
      <w:r w:rsidR="00786EAD">
        <w:t xml:space="preserve"> </w:t>
      </w:r>
    </w:p>
  </w:footnote>
  <w:footnote w:id="29">
    <w:p w14:paraId="061A4C9D" w14:textId="0AE88C0A" w:rsidR="007206B9" w:rsidRPr="00931089" w:rsidRDefault="007206B9" w:rsidP="007206B9">
      <w:pPr>
        <w:pStyle w:val="FootnoteText"/>
        <w:rPr>
          <w:lang w:val="es-ES"/>
        </w:rPr>
      </w:pPr>
      <w:r w:rsidRPr="3D0C9C20">
        <w:rPr>
          <w:rStyle w:val="FootnoteReference"/>
        </w:rPr>
        <w:footnoteRef/>
      </w:r>
      <w:r w:rsidRPr="00931089">
        <w:rPr>
          <w:lang w:val="es-ES"/>
        </w:rPr>
        <w:t xml:space="preserve"> </w:t>
      </w:r>
      <w:hyperlink r:id="rId32" w:history="1">
        <w:r w:rsidR="00786EAD" w:rsidRPr="00CA1B07">
          <w:rPr>
            <w:rStyle w:val="Hyperlink"/>
          </w:rPr>
          <w:t>https://www.eenews.net/articles/exxon-leaves-oil-lobbying-group-over-climate-differences/</w:t>
        </w:r>
      </w:hyperlink>
      <w:r w:rsidR="00786EAD">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dYUVZYVGfxI8vr" int2:id="wFWJoK1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DF"/>
    <w:multiLevelType w:val="hybridMultilevel"/>
    <w:tmpl w:val="DDF83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57E17"/>
    <w:multiLevelType w:val="hybridMultilevel"/>
    <w:tmpl w:val="1DD6F09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783AF3"/>
    <w:multiLevelType w:val="hybridMultilevel"/>
    <w:tmpl w:val="8132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F0F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BF4472"/>
    <w:multiLevelType w:val="hybridMultilevel"/>
    <w:tmpl w:val="111A4DE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E5D3043"/>
    <w:multiLevelType w:val="hybridMultilevel"/>
    <w:tmpl w:val="7C74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50DB4"/>
    <w:multiLevelType w:val="hybridMultilevel"/>
    <w:tmpl w:val="CF1E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C5F84"/>
    <w:multiLevelType w:val="hybridMultilevel"/>
    <w:tmpl w:val="2B06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C2EC7"/>
    <w:multiLevelType w:val="hybridMultilevel"/>
    <w:tmpl w:val="B03C94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D37687"/>
    <w:multiLevelType w:val="hybridMultilevel"/>
    <w:tmpl w:val="1CC61D54"/>
    <w:lvl w:ilvl="0" w:tplc="8A8C9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73680">
    <w:abstractNumId w:val="5"/>
  </w:num>
  <w:num w:numId="2" w16cid:durableId="724991498">
    <w:abstractNumId w:val="4"/>
  </w:num>
  <w:num w:numId="3" w16cid:durableId="1683629156">
    <w:abstractNumId w:val="1"/>
  </w:num>
  <w:num w:numId="4" w16cid:durableId="723718533">
    <w:abstractNumId w:val="8"/>
  </w:num>
  <w:num w:numId="5" w16cid:durableId="652181389">
    <w:abstractNumId w:val="2"/>
  </w:num>
  <w:num w:numId="6" w16cid:durableId="825784596">
    <w:abstractNumId w:val="6"/>
  </w:num>
  <w:num w:numId="7" w16cid:durableId="316493780">
    <w:abstractNumId w:val="9"/>
  </w:num>
  <w:num w:numId="8" w16cid:durableId="130637291">
    <w:abstractNumId w:val="7"/>
  </w:num>
  <w:num w:numId="9" w16cid:durableId="892539995">
    <w:abstractNumId w:val="3"/>
  </w:num>
  <w:num w:numId="10" w16cid:durableId="138367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BA"/>
    <w:rsid w:val="000266CB"/>
    <w:rsid w:val="00027F74"/>
    <w:rsid w:val="00031784"/>
    <w:rsid w:val="000AEB80"/>
    <w:rsid w:val="000C6498"/>
    <w:rsid w:val="001010E2"/>
    <w:rsid w:val="00102D8D"/>
    <w:rsid w:val="001467AA"/>
    <w:rsid w:val="00175615"/>
    <w:rsid w:val="001D586C"/>
    <w:rsid w:val="00230330"/>
    <w:rsid w:val="00236122"/>
    <w:rsid w:val="002461C1"/>
    <w:rsid w:val="00254007"/>
    <w:rsid w:val="00261746"/>
    <w:rsid w:val="00284163"/>
    <w:rsid w:val="002C01FB"/>
    <w:rsid w:val="002E5DF4"/>
    <w:rsid w:val="00325D6D"/>
    <w:rsid w:val="0033031A"/>
    <w:rsid w:val="00373A49"/>
    <w:rsid w:val="00390730"/>
    <w:rsid w:val="003A52A3"/>
    <w:rsid w:val="003D2B81"/>
    <w:rsid w:val="003F2EBA"/>
    <w:rsid w:val="0041133A"/>
    <w:rsid w:val="00420B42"/>
    <w:rsid w:val="00432AFB"/>
    <w:rsid w:val="00454186"/>
    <w:rsid w:val="00481258"/>
    <w:rsid w:val="004E0DE4"/>
    <w:rsid w:val="0056594E"/>
    <w:rsid w:val="005C6722"/>
    <w:rsid w:val="005F16C7"/>
    <w:rsid w:val="00606EFA"/>
    <w:rsid w:val="006332BD"/>
    <w:rsid w:val="006775DA"/>
    <w:rsid w:val="00677827"/>
    <w:rsid w:val="006A1405"/>
    <w:rsid w:val="006A6186"/>
    <w:rsid w:val="006F1B04"/>
    <w:rsid w:val="007206B9"/>
    <w:rsid w:val="00776DA3"/>
    <w:rsid w:val="00786EAD"/>
    <w:rsid w:val="00790B80"/>
    <w:rsid w:val="007A35B2"/>
    <w:rsid w:val="007A641D"/>
    <w:rsid w:val="007B7290"/>
    <w:rsid w:val="007E69BD"/>
    <w:rsid w:val="00804C14"/>
    <w:rsid w:val="00806B4E"/>
    <w:rsid w:val="0080D4E7"/>
    <w:rsid w:val="0081300A"/>
    <w:rsid w:val="0084FBE3"/>
    <w:rsid w:val="0085388A"/>
    <w:rsid w:val="00856A5D"/>
    <w:rsid w:val="00860EAA"/>
    <w:rsid w:val="008C64ED"/>
    <w:rsid w:val="008D5CB8"/>
    <w:rsid w:val="008E9F8E"/>
    <w:rsid w:val="00901486"/>
    <w:rsid w:val="00915221"/>
    <w:rsid w:val="0092AFE2"/>
    <w:rsid w:val="009545CF"/>
    <w:rsid w:val="00961658"/>
    <w:rsid w:val="009B10D9"/>
    <w:rsid w:val="009E5BB5"/>
    <w:rsid w:val="009FB8F3"/>
    <w:rsid w:val="00A41F14"/>
    <w:rsid w:val="00A72101"/>
    <w:rsid w:val="00AA3314"/>
    <w:rsid w:val="00AB456C"/>
    <w:rsid w:val="00AE1B05"/>
    <w:rsid w:val="00B21E44"/>
    <w:rsid w:val="00B23FD3"/>
    <w:rsid w:val="00B409FE"/>
    <w:rsid w:val="00B40EA8"/>
    <w:rsid w:val="00B48F13"/>
    <w:rsid w:val="00B75832"/>
    <w:rsid w:val="00B83D6C"/>
    <w:rsid w:val="00B93EC0"/>
    <w:rsid w:val="00B96C9A"/>
    <w:rsid w:val="00BB0E7D"/>
    <w:rsid w:val="00BE3BD9"/>
    <w:rsid w:val="00C016E0"/>
    <w:rsid w:val="00C02B89"/>
    <w:rsid w:val="00C175B4"/>
    <w:rsid w:val="00C35B6A"/>
    <w:rsid w:val="00C46953"/>
    <w:rsid w:val="00C81381"/>
    <w:rsid w:val="00CA5124"/>
    <w:rsid w:val="00CC2437"/>
    <w:rsid w:val="00CC5460"/>
    <w:rsid w:val="00CD1E2A"/>
    <w:rsid w:val="00CD42AB"/>
    <w:rsid w:val="00CD5EBF"/>
    <w:rsid w:val="00CF23D8"/>
    <w:rsid w:val="00D11172"/>
    <w:rsid w:val="00D65D2D"/>
    <w:rsid w:val="00D75031"/>
    <w:rsid w:val="00D8538A"/>
    <w:rsid w:val="00D92724"/>
    <w:rsid w:val="00DE4DF7"/>
    <w:rsid w:val="00E03C99"/>
    <w:rsid w:val="00E175DD"/>
    <w:rsid w:val="00E25B72"/>
    <w:rsid w:val="00E26FBC"/>
    <w:rsid w:val="00E405F7"/>
    <w:rsid w:val="00E4389E"/>
    <w:rsid w:val="00E474C0"/>
    <w:rsid w:val="00E52134"/>
    <w:rsid w:val="00E78133"/>
    <w:rsid w:val="00EB45EE"/>
    <w:rsid w:val="00EC07CC"/>
    <w:rsid w:val="00EC27F8"/>
    <w:rsid w:val="00EF61E3"/>
    <w:rsid w:val="00F03C78"/>
    <w:rsid w:val="00F425A4"/>
    <w:rsid w:val="00F71263"/>
    <w:rsid w:val="00F825C8"/>
    <w:rsid w:val="00FA07E7"/>
    <w:rsid w:val="00FF3738"/>
    <w:rsid w:val="0118BA24"/>
    <w:rsid w:val="01292E3F"/>
    <w:rsid w:val="012DC1F0"/>
    <w:rsid w:val="014807A4"/>
    <w:rsid w:val="01531C5F"/>
    <w:rsid w:val="01549DE8"/>
    <w:rsid w:val="01608FB7"/>
    <w:rsid w:val="016AA148"/>
    <w:rsid w:val="019954E5"/>
    <w:rsid w:val="01AFD142"/>
    <w:rsid w:val="01B55E9F"/>
    <w:rsid w:val="01E14056"/>
    <w:rsid w:val="0202B721"/>
    <w:rsid w:val="024B5984"/>
    <w:rsid w:val="026AE242"/>
    <w:rsid w:val="029B695E"/>
    <w:rsid w:val="02B675E3"/>
    <w:rsid w:val="030F4D95"/>
    <w:rsid w:val="037D9F14"/>
    <w:rsid w:val="03D5D6BB"/>
    <w:rsid w:val="03F015B0"/>
    <w:rsid w:val="03F8D22F"/>
    <w:rsid w:val="03F96105"/>
    <w:rsid w:val="041BD0E0"/>
    <w:rsid w:val="04524245"/>
    <w:rsid w:val="046829AF"/>
    <w:rsid w:val="04882C97"/>
    <w:rsid w:val="049D0A42"/>
    <w:rsid w:val="04D7C15E"/>
    <w:rsid w:val="050C7B1E"/>
    <w:rsid w:val="05358B46"/>
    <w:rsid w:val="05662105"/>
    <w:rsid w:val="06194287"/>
    <w:rsid w:val="06700BA0"/>
    <w:rsid w:val="069DAD41"/>
    <w:rsid w:val="06AB1D90"/>
    <w:rsid w:val="06B30B16"/>
    <w:rsid w:val="06BF279A"/>
    <w:rsid w:val="06DB575E"/>
    <w:rsid w:val="07061DBB"/>
    <w:rsid w:val="07338D64"/>
    <w:rsid w:val="07459292"/>
    <w:rsid w:val="07D00CE5"/>
    <w:rsid w:val="07EACD24"/>
    <w:rsid w:val="0800BEDE"/>
    <w:rsid w:val="0842D9D0"/>
    <w:rsid w:val="085A0E99"/>
    <w:rsid w:val="087EF5E5"/>
    <w:rsid w:val="0892DFC4"/>
    <w:rsid w:val="089DC1C7"/>
    <w:rsid w:val="08A46067"/>
    <w:rsid w:val="08D7BA8A"/>
    <w:rsid w:val="0918AF94"/>
    <w:rsid w:val="092A6C5F"/>
    <w:rsid w:val="0932E233"/>
    <w:rsid w:val="098799B9"/>
    <w:rsid w:val="09A04E00"/>
    <w:rsid w:val="09C50F20"/>
    <w:rsid w:val="09CD2AFF"/>
    <w:rsid w:val="0A08BABD"/>
    <w:rsid w:val="0A0BA536"/>
    <w:rsid w:val="0A10929D"/>
    <w:rsid w:val="0A3089B8"/>
    <w:rsid w:val="0A722E13"/>
    <w:rsid w:val="0A9CC0E2"/>
    <w:rsid w:val="0AACD30E"/>
    <w:rsid w:val="0AB020E1"/>
    <w:rsid w:val="0B4B39FC"/>
    <w:rsid w:val="0B4EB5BF"/>
    <w:rsid w:val="0B68FB60"/>
    <w:rsid w:val="0B8D4FFF"/>
    <w:rsid w:val="0B8E5C85"/>
    <w:rsid w:val="0BAF15B4"/>
    <w:rsid w:val="0BD56289"/>
    <w:rsid w:val="0BE7DA4D"/>
    <w:rsid w:val="0BE916ED"/>
    <w:rsid w:val="0C0BABF9"/>
    <w:rsid w:val="0C4A0C09"/>
    <w:rsid w:val="0C592949"/>
    <w:rsid w:val="0CBBF14C"/>
    <w:rsid w:val="0CC2DE1E"/>
    <w:rsid w:val="0CFD1811"/>
    <w:rsid w:val="0D04D9B2"/>
    <w:rsid w:val="0D60FE9D"/>
    <w:rsid w:val="0D6D4B55"/>
    <w:rsid w:val="0D9D11FA"/>
    <w:rsid w:val="0DA56ECA"/>
    <w:rsid w:val="0DA77C5A"/>
    <w:rsid w:val="0DAF4910"/>
    <w:rsid w:val="0E632E08"/>
    <w:rsid w:val="0E672943"/>
    <w:rsid w:val="0E7AB76F"/>
    <w:rsid w:val="0E8CE6FF"/>
    <w:rsid w:val="0EBE1CFB"/>
    <w:rsid w:val="0F090121"/>
    <w:rsid w:val="0F2DBFE8"/>
    <w:rsid w:val="0F4D295A"/>
    <w:rsid w:val="0F504A90"/>
    <w:rsid w:val="0F84C012"/>
    <w:rsid w:val="0FCF0D77"/>
    <w:rsid w:val="0FD0FCDD"/>
    <w:rsid w:val="0FEF2F5F"/>
    <w:rsid w:val="1007FAAE"/>
    <w:rsid w:val="1009D438"/>
    <w:rsid w:val="10214ACF"/>
    <w:rsid w:val="106D494F"/>
    <w:rsid w:val="10F7BB18"/>
    <w:rsid w:val="112B4DE9"/>
    <w:rsid w:val="113D6E72"/>
    <w:rsid w:val="114FCDF8"/>
    <w:rsid w:val="11616A51"/>
    <w:rsid w:val="11CF19E9"/>
    <w:rsid w:val="11F5BDBD"/>
    <w:rsid w:val="12276D2F"/>
    <w:rsid w:val="1237CF6E"/>
    <w:rsid w:val="124B29BD"/>
    <w:rsid w:val="126CB943"/>
    <w:rsid w:val="128F02F9"/>
    <w:rsid w:val="12A6D5EB"/>
    <w:rsid w:val="12B8E1E2"/>
    <w:rsid w:val="12F012DC"/>
    <w:rsid w:val="13918E1E"/>
    <w:rsid w:val="13962A72"/>
    <w:rsid w:val="14160148"/>
    <w:rsid w:val="142033B1"/>
    <w:rsid w:val="14368157"/>
    <w:rsid w:val="14CF34D1"/>
    <w:rsid w:val="150D144C"/>
    <w:rsid w:val="153C0893"/>
    <w:rsid w:val="155D8CB0"/>
    <w:rsid w:val="155F74A9"/>
    <w:rsid w:val="15E0F310"/>
    <w:rsid w:val="15FB85E8"/>
    <w:rsid w:val="162B3CA3"/>
    <w:rsid w:val="166A10E2"/>
    <w:rsid w:val="16A55265"/>
    <w:rsid w:val="16E86372"/>
    <w:rsid w:val="16F95BCA"/>
    <w:rsid w:val="1716318D"/>
    <w:rsid w:val="171F16BE"/>
    <w:rsid w:val="1749697E"/>
    <w:rsid w:val="175A93F7"/>
    <w:rsid w:val="17B02FCA"/>
    <w:rsid w:val="17B09533"/>
    <w:rsid w:val="17D89E52"/>
    <w:rsid w:val="181737FF"/>
    <w:rsid w:val="1819E692"/>
    <w:rsid w:val="18354041"/>
    <w:rsid w:val="183E7D61"/>
    <w:rsid w:val="189E8366"/>
    <w:rsid w:val="19904EB5"/>
    <w:rsid w:val="199CFB79"/>
    <w:rsid w:val="19D07F43"/>
    <w:rsid w:val="19D81E67"/>
    <w:rsid w:val="19D8E06B"/>
    <w:rsid w:val="19EA1F6A"/>
    <w:rsid w:val="1A00CFA2"/>
    <w:rsid w:val="1A1E0368"/>
    <w:rsid w:val="1A80A005"/>
    <w:rsid w:val="1A9792C7"/>
    <w:rsid w:val="1ACCFE24"/>
    <w:rsid w:val="1AD7BE4B"/>
    <w:rsid w:val="1B3BCD47"/>
    <w:rsid w:val="1B455D7E"/>
    <w:rsid w:val="1B4C14A8"/>
    <w:rsid w:val="1B595611"/>
    <w:rsid w:val="1B726192"/>
    <w:rsid w:val="1B98429A"/>
    <w:rsid w:val="1BC24E65"/>
    <w:rsid w:val="1BF373D9"/>
    <w:rsid w:val="1C02A464"/>
    <w:rsid w:val="1C405730"/>
    <w:rsid w:val="1C421FCC"/>
    <w:rsid w:val="1C546C74"/>
    <w:rsid w:val="1C6F42FC"/>
    <w:rsid w:val="1C8832C7"/>
    <w:rsid w:val="1C9B80E2"/>
    <w:rsid w:val="1CB0C990"/>
    <w:rsid w:val="1CDB8008"/>
    <w:rsid w:val="1CE57958"/>
    <w:rsid w:val="1CEA3363"/>
    <w:rsid w:val="1CF555A4"/>
    <w:rsid w:val="1D1E4D53"/>
    <w:rsid w:val="1D2CC547"/>
    <w:rsid w:val="1D2E00FF"/>
    <w:rsid w:val="1D880EEF"/>
    <w:rsid w:val="1D97B825"/>
    <w:rsid w:val="1E41D97C"/>
    <w:rsid w:val="1E524201"/>
    <w:rsid w:val="1E74563D"/>
    <w:rsid w:val="1EBDCDB9"/>
    <w:rsid w:val="1ECE4432"/>
    <w:rsid w:val="1F0619CF"/>
    <w:rsid w:val="1F0C5B35"/>
    <w:rsid w:val="1F1CF568"/>
    <w:rsid w:val="1F5AF2F6"/>
    <w:rsid w:val="1FF99317"/>
    <w:rsid w:val="201D17E6"/>
    <w:rsid w:val="202540B9"/>
    <w:rsid w:val="202D29C3"/>
    <w:rsid w:val="203DF59B"/>
    <w:rsid w:val="206EECCE"/>
    <w:rsid w:val="209290F8"/>
    <w:rsid w:val="20C27214"/>
    <w:rsid w:val="2173BF53"/>
    <w:rsid w:val="2175E72B"/>
    <w:rsid w:val="21870D72"/>
    <w:rsid w:val="21950E9A"/>
    <w:rsid w:val="21C42FD3"/>
    <w:rsid w:val="21D0AA3A"/>
    <w:rsid w:val="21EE3780"/>
    <w:rsid w:val="22441761"/>
    <w:rsid w:val="224E5BC8"/>
    <w:rsid w:val="2273162B"/>
    <w:rsid w:val="227A0FFE"/>
    <w:rsid w:val="2291FCFD"/>
    <w:rsid w:val="22B2AC4A"/>
    <w:rsid w:val="22C2A1D4"/>
    <w:rsid w:val="22D72259"/>
    <w:rsid w:val="22E518FB"/>
    <w:rsid w:val="22F218A3"/>
    <w:rsid w:val="22F367D4"/>
    <w:rsid w:val="23167D13"/>
    <w:rsid w:val="231EAF38"/>
    <w:rsid w:val="23731C81"/>
    <w:rsid w:val="238FDF27"/>
    <w:rsid w:val="23C58D71"/>
    <w:rsid w:val="23D6FACB"/>
    <w:rsid w:val="23D72C90"/>
    <w:rsid w:val="23D799D7"/>
    <w:rsid w:val="23DCA68D"/>
    <w:rsid w:val="242A7A88"/>
    <w:rsid w:val="243BEE6C"/>
    <w:rsid w:val="2455A4B6"/>
    <w:rsid w:val="2464E15D"/>
    <w:rsid w:val="247A5EF8"/>
    <w:rsid w:val="24B77ED7"/>
    <w:rsid w:val="25130A84"/>
    <w:rsid w:val="253F6FE8"/>
    <w:rsid w:val="2554B847"/>
    <w:rsid w:val="25A3178B"/>
    <w:rsid w:val="25D85F4C"/>
    <w:rsid w:val="26677226"/>
    <w:rsid w:val="26C59252"/>
    <w:rsid w:val="27480AAC"/>
    <w:rsid w:val="274C9E3C"/>
    <w:rsid w:val="275D8B5F"/>
    <w:rsid w:val="27A03D18"/>
    <w:rsid w:val="27D9A9C0"/>
    <w:rsid w:val="27F1C402"/>
    <w:rsid w:val="281B55CD"/>
    <w:rsid w:val="28A47817"/>
    <w:rsid w:val="29759945"/>
    <w:rsid w:val="2994F886"/>
    <w:rsid w:val="29E034AA"/>
    <w:rsid w:val="2A74ED4A"/>
    <w:rsid w:val="2A7688AE"/>
    <w:rsid w:val="2A98C523"/>
    <w:rsid w:val="2AD41B1A"/>
    <w:rsid w:val="2AD4E314"/>
    <w:rsid w:val="2AE09FA3"/>
    <w:rsid w:val="2AFFBC22"/>
    <w:rsid w:val="2B7586BA"/>
    <w:rsid w:val="2BC8977F"/>
    <w:rsid w:val="2BD20361"/>
    <w:rsid w:val="2BFB531E"/>
    <w:rsid w:val="2C12590F"/>
    <w:rsid w:val="2C1F934D"/>
    <w:rsid w:val="2C26B930"/>
    <w:rsid w:val="2C6FEB7B"/>
    <w:rsid w:val="2C7A8300"/>
    <w:rsid w:val="2C920A86"/>
    <w:rsid w:val="2CBC3FB4"/>
    <w:rsid w:val="2D14533E"/>
    <w:rsid w:val="2D491D3B"/>
    <w:rsid w:val="2D87F51C"/>
    <w:rsid w:val="2D8EECB3"/>
    <w:rsid w:val="2D9137D5"/>
    <w:rsid w:val="2DC3176F"/>
    <w:rsid w:val="2DC6495A"/>
    <w:rsid w:val="2DD5F117"/>
    <w:rsid w:val="2DD6C6D0"/>
    <w:rsid w:val="2DE24B6D"/>
    <w:rsid w:val="2E0BBBDC"/>
    <w:rsid w:val="2E470641"/>
    <w:rsid w:val="2E939F16"/>
    <w:rsid w:val="2EB29743"/>
    <w:rsid w:val="2EE04CF2"/>
    <w:rsid w:val="2EE94037"/>
    <w:rsid w:val="2F12C9E8"/>
    <w:rsid w:val="2F252A3C"/>
    <w:rsid w:val="2F2D0836"/>
    <w:rsid w:val="2F35981A"/>
    <w:rsid w:val="2F572375"/>
    <w:rsid w:val="2F8B2F0F"/>
    <w:rsid w:val="2FC9F132"/>
    <w:rsid w:val="2FEBFE4F"/>
    <w:rsid w:val="2FF23F1C"/>
    <w:rsid w:val="301BD2FB"/>
    <w:rsid w:val="303FE575"/>
    <w:rsid w:val="304A3901"/>
    <w:rsid w:val="30607541"/>
    <w:rsid w:val="30D74B15"/>
    <w:rsid w:val="3100526E"/>
    <w:rsid w:val="3102175F"/>
    <w:rsid w:val="31486332"/>
    <w:rsid w:val="31B7A35C"/>
    <w:rsid w:val="31F91DE3"/>
    <w:rsid w:val="321126F4"/>
    <w:rsid w:val="321D4A8C"/>
    <w:rsid w:val="322892D5"/>
    <w:rsid w:val="3236CF26"/>
    <w:rsid w:val="32464C9F"/>
    <w:rsid w:val="325A1FC1"/>
    <w:rsid w:val="326380D4"/>
    <w:rsid w:val="32C5A4F7"/>
    <w:rsid w:val="32D3483D"/>
    <w:rsid w:val="32E99213"/>
    <w:rsid w:val="331A95DB"/>
    <w:rsid w:val="333C5310"/>
    <w:rsid w:val="3350D46D"/>
    <w:rsid w:val="336C12F8"/>
    <w:rsid w:val="338582A4"/>
    <w:rsid w:val="33B91AED"/>
    <w:rsid w:val="33EE1A91"/>
    <w:rsid w:val="34436D72"/>
    <w:rsid w:val="3447FFFE"/>
    <w:rsid w:val="349069FC"/>
    <w:rsid w:val="3492014F"/>
    <w:rsid w:val="34D1E723"/>
    <w:rsid w:val="34EDB893"/>
    <w:rsid w:val="34FBD9F2"/>
    <w:rsid w:val="35161A82"/>
    <w:rsid w:val="3571E1BC"/>
    <w:rsid w:val="358770C5"/>
    <w:rsid w:val="35DEFDCE"/>
    <w:rsid w:val="35DF3DD3"/>
    <w:rsid w:val="3607198B"/>
    <w:rsid w:val="360CD2A0"/>
    <w:rsid w:val="36330670"/>
    <w:rsid w:val="363440A9"/>
    <w:rsid w:val="3655CE1C"/>
    <w:rsid w:val="36655BB7"/>
    <w:rsid w:val="3683266B"/>
    <w:rsid w:val="36A40295"/>
    <w:rsid w:val="36D365D7"/>
    <w:rsid w:val="36F2B54B"/>
    <w:rsid w:val="370929A6"/>
    <w:rsid w:val="37264D4E"/>
    <w:rsid w:val="372DDB43"/>
    <w:rsid w:val="373C49D5"/>
    <w:rsid w:val="3755714A"/>
    <w:rsid w:val="3779C44C"/>
    <w:rsid w:val="3798CE5D"/>
    <w:rsid w:val="37CEECB2"/>
    <w:rsid w:val="37D7C961"/>
    <w:rsid w:val="37F25773"/>
    <w:rsid w:val="37FE15C8"/>
    <w:rsid w:val="38003DF4"/>
    <w:rsid w:val="381ED1A4"/>
    <w:rsid w:val="3826E4E0"/>
    <w:rsid w:val="388D5B41"/>
    <w:rsid w:val="38C3A3D6"/>
    <w:rsid w:val="38C9ABA4"/>
    <w:rsid w:val="38EE64AF"/>
    <w:rsid w:val="3906D24F"/>
    <w:rsid w:val="3942FEEE"/>
    <w:rsid w:val="394C7ADA"/>
    <w:rsid w:val="396712B6"/>
    <w:rsid w:val="39873096"/>
    <w:rsid w:val="399B14A1"/>
    <w:rsid w:val="39D665D4"/>
    <w:rsid w:val="3A219C5D"/>
    <w:rsid w:val="3A754A83"/>
    <w:rsid w:val="3A7B31DA"/>
    <w:rsid w:val="3A7B935F"/>
    <w:rsid w:val="3A8646C2"/>
    <w:rsid w:val="3AA1B60F"/>
    <w:rsid w:val="3AA3573E"/>
    <w:rsid w:val="3AB354EA"/>
    <w:rsid w:val="3B269B80"/>
    <w:rsid w:val="3B656E01"/>
    <w:rsid w:val="3B99A870"/>
    <w:rsid w:val="3BA4A823"/>
    <w:rsid w:val="3C0F31BC"/>
    <w:rsid w:val="3C111AE4"/>
    <w:rsid w:val="3C40F968"/>
    <w:rsid w:val="3C520E08"/>
    <w:rsid w:val="3C81364A"/>
    <w:rsid w:val="3CA1E01D"/>
    <w:rsid w:val="3CA4F902"/>
    <w:rsid w:val="3CB6239C"/>
    <w:rsid w:val="3CDB9C9D"/>
    <w:rsid w:val="3D3A7BDA"/>
    <w:rsid w:val="3D443288"/>
    <w:rsid w:val="3D83F46A"/>
    <w:rsid w:val="3DB2288C"/>
    <w:rsid w:val="3DEDAA2A"/>
    <w:rsid w:val="3E3A8EFA"/>
    <w:rsid w:val="3E504B3F"/>
    <w:rsid w:val="3E5A8667"/>
    <w:rsid w:val="3E86792B"/>
    <w:rsid w:val="3E9CC833"/>
    <w:rsid w:val="3EB9D796"/>
    <w:rsid w:val="3EC31BBF"/>
    <w:rsid w:val="3F0DE857"/>
    <w:rsid w:val="3F2D169F"/>
    <w:rsid w:val="3F7BA7AC"/>
    <w:rsid w:val="3F7CB101"/>
    <w:rsid w:val="3F81A1C7"/>
    <w:rsid w:val="3F8E22CF"/>
    <w:rsid w:val="3F9951EB"/>
    <w:rsid w:val="3FBC57D3"/>
    <w:rsid w:val="3FCAB965"/>
    <w:rsid w:val="3FD5A246"/>
    <w:rsid w:val="40188866"/>
    <w:rsid w:val="406ED3A3"/>
    <w:rsid w:val="4097D801"/>
    <w:rsid w:val="40A00DFA"/>
    <w:rsid w:val="40E48C07"/>
    <w:rsid w:val="41150F56"/>
    <w:rsid w:val="414D494E"/>
    <w:rsid w:val="419CF573"/>
    <w:rsid w:val="41AFC859"/>
    <w:rsid w:val="41CFABBF"/>
    <w:rsid w:val="4206B47F"/>
    <w:rsid w:val="424F0682"/>
    <w:rsid w:val="429AE32D"/>
    <w:rsid w:val="42F1A4C8"/>
    <w:rsid w:val="42F8C727"/>
    <w:rsid w:val="43119F59"/>
    <w:rsid w:val="434708B6"/>
    <w:rsid w:val="434EE12E"/>
    <w:rsid w:val="43911874"/>
    <w:rsid w:val="4392540E"/>
    <w:rsid w:val="43E3F124"/>
    <w:rsid w:val="4412CDCB"/>
    <w:rsid w:val="447CB2BB"/>
    <w:rsid w:val="447EE4E1"/>
    <w:rsid w:val="44AD6FBA"/>
    <w:rsid w:val="44F8F9A7"/>
    <w:rsid w:val="452A7681"/>
    <w:rsid w:val="455AF6AE"/>
    <w:rsid w:val="4590FB83"/>
    <w:rsid w:val="45CF5117"/>
    <w:rsid w:val="45FECE5A"/>
    <w:rsid w:val="464F5223"/>
    <w:rsid w:val="4657DAE9"/>
    <w:rsid w:val="468CDF58"/>
    <w:rsid w:val="46B63180"/>
    <w:rsid w:val="46C646E2"/>
    <w:rsid w:val="46D2AD29"/>
    <w:rsid w:val="471AB384"/>
    <w:rsid w:val="4741C966"/>
    <w:rsid w:val="4783268F"/>
    <w:rsid w:val="478502D2"/>
    <w:rsid w:val="479725A5"/>
    <w:rsid w:val="48C46C68"/>
    <w:rsid w:val="48DC5D75"/>
    <w:rsid w:val="4910C1BE"/>
    <w:rsid w:val="492D261F"/>
    <w:rsid w:val="494C1428"/>
    <w:rsid w:val="4978FEEA"/>
    <w:rsid w:val="497CA0EA"/>
    <w:rsid w:val="49829458"/>
    <w:rsid w:val="49B9B3D8"/>
    <w:rsid w:val="4A765451"/>
    <w:rsid w:val="4A935BD3"/>
    <w:rsid w:val="4AA8D653"/>
    <w:rsid w:val="4AC00E52"/>
    <w:rsid w:val="4ACC6FBE"/>
    <w:rsid w:val="4AD572CD"/>
    <w:rsid w:val="4AF2E7AC"/>
    <w:rsid w:val="4B49C466"/>
    <w:rsid w:val="4B6F8E63"/>
    <w:rsid w:val="4BD4793F"/>
    <w:rsid w:val="4C31DB81"/>
    <w:rsid w:val="4C60B31B"/>
    <w:rsid w:val="4C6BDD41"/>
    <w:rsid w:val="4C8DC461"/>
    <w:rsid w:val="4CB09FAC"/>
    <w:rsid w:val="4D100F53"/>
    <w:rsid w:val="4D113208"/>
    <w:rsid w:val="4D3D7180"/>
    <w:rsid w:val="4D469F21"/>
    <w:rsid w:val="4D769050"/>
    <w:rsid w:val="4DA05E90"/>
    <w:rsid w:val="4DA27E41"/>
    <w:rsid w:val="4DA74C64"/>
    <w:rsid w:val="4DABA4D8"/>
    <w:rsid w:val="4DD2A519"/>
    <w:rsid w:val="4DF34429"/>
    <w:rsid w:val="4E08826E"/>
    <w:rsid w:val="4E11A59E"/>
    <w:rsid w:val="4E396B88"/>
    <w:rsid w:val="4E5C3EC9"/>
    <w:rsid w:val="4E64E44C"/>
    <w:rsid w:val="4E793121"/>
    <w:rsid w:val="4E7D2BB6"/>
    <w:rsid w:val="4E8B54CC"/>
    <w:rsid w:val="4E95F88F"/>
    <w:rsid w:val="4ED158C7"/>
    <w:rsid w:val="4EF1EEA0"/>
    <w:rsid w:val="4F95C090"/>
    <w:rsid w:val="4FA5054F"/>
    <w:rsid w:val="4FAD8C8E"/>
    <w:rsid w:val="4FB1BD0E"/>
    <w:rsid w:val="4FBBB638"/>
    <w:rsid w:val="4FD54A47"/>
    <w:rsid w:val="4FE8920E"/>
    <w:rsid w:val="4FF3A2B0"/>
    <w:rsid w:val="5000B4AD"/>
    <w:rsid w:val="501B0BBC"/>
    <w:rsid w:val="5030A10D"/>
    <w:rsid w:val="505F8A31"/>
    <w:rsid w:val="50E9D743"/>
    <w:rsid w:val="5161134A"/>
    <w:rsid w:val="5166C02D"/>
    <w:rsid w:val="51B0FAE0"/>
    <w:rsid w:val="51F499E2"/>
    <w:rsid w:val="525676D9"/>
    <w:rsid w:val="5285A7A4"/>
    <w:rsid w:val="529E6DB8"/>
    <w:rsid w:val="52A9D84D"/>
    <w:rsid w:val="52C6C685"/>
    <w:rsid w:val="52DB31FA"/>
    <w:rsid w:val="52FB8B20"/>
    <w:rsid w:val="530B45B4"/>
    <w:rsid w:val="53486F24"/>
    <w:rsid w:val="5359A853"/>
    <w:rsid w:val="53A993D5"/>
    <w:rsid w:val="53E39111"/>
    <w:rsid w:val="53EFEC45"/>
    <w:rsid w:val="54225E79"/>
    <w:rsid w:val="542B4024"/>
    <w:rsid w:val="542FF5D4"/>
    <w:rsid w:val="543A3E19"/>
    <w:rsid w:val="54563DF3"/>
    <w:rsid w:val="545BCA54"/>
    <w:rsid w:val="546D131E"/>
    <w:rsid w:val="54B86BB4"/>
    <w:rsid w:val="54C49FF0"/>
    <w:rsid w:val="54CD3FC1"/>
    <w:rsid w:val="54CF4A48"/>
    <w:rsid w:val="5507F8FD"/>
    <w:rsid w:val="55200E97"/>
    <w:rsid w:val="554120F0"/>
    <w:rsid w:val="55426216"/>
    <w:rsid w:val="554E9E44"/>
    <w:rsid w:val="556BAC85"/>
    <w:rsid w:val="55E09E12"/>
    <w:rsid w:val="55EA8A9B"/>
    <w:rsid w:val="55F62648"/>
    <w:rsid w:val="56089F22"/>
    <w:rsid w:val="560B07EE"/>
    <w:rsid w:val="56724FFC"/>
    <w:rsid w:val="56AB196A"/>
    <w:rsid w:val="56DC6AAC"/>
    <w:rsid w:val="56DD0AF8"/>
    <w:rsid w:val="56EABD5D"/>
    <w:rsid w:val="570D7267"/>
    <w:rsid w:val="5727E07D"/>
    <w:rsid w:val="5729E7FC"/>
    <w:rsid w:val="572C8F52"/>
    <w:rsid w:val="572DA5C8"/>
    <w:rsid w:val="5733406F"/>
    <w:rsid w:val="57517B06"/>
    <w:rsid w:val="57555FA2"/>
    <w:rsid w:val="57760719"/>
    <w:rsid w:val="578205EB"/>
    <w:rsid w:val="578E8DB8"/>
    <w:rsid w:val="57DF7D2E"/>
    <w:rsid w:val="58078D24"/>
    <w:rsid w:val="580C0DA7"/>
    <w:rsid w:val="582FA2E1"/>
    <w:rsid w:val="587EE221"/>
    <w:rsid w:val="5881F05E"/>
    <w:rsid w:val="58CCE9CF"/>
    <w:rsid w:val="58CEB1DE"/>
    <w:rsid w:val="58DFA8AE"/>
    <w:rsid w:val="58FCCEFC"/>
    <w:rsid w:val="592752A3"/>
    <w:rsid w:val="5953483B"/>
    <w:rsid w:val="596DA10E"/>
    <w:rsid w:val="59FCDA98"/>
    <w:rsid w:val="5A004DD7"/>
    <w:rsid w:val="5A30D217"/>
    <w:rsid w:val="5A353AF6"/>
    <w:rsid w:val="5A518097"/>
    <w:rsid w:val="5A91A777"/>
    <w:rsid w:val="5A9A5337"/>
    <w:rsid w:val="5AD94419"/>
    <w:rsid w:val="5ADFEB64"/>
    <w:rsid w:val="5B04128F"/>
    <w:rsid w:val="5B21DAD5"/>
    <w:rsid w:val="5B77281C"/>
    <w:rsid w:val="5BC5B321"/>
    <w:rsid w:val="5BCA680E"/>
    <w:rsid w:val="5BD24CD8"/>
    <w:rsid w:val="5C055BD5"/>
    <w:rsid w:val="5C11B037"/>
    <w:rsid w:val="5C2ECF3C"/>
    <w:rsid w:val="5C43C03E"/>
    <w:rsid w:val="5C553E76"/>
    <w:rsid w:val="5CD67D1D"/>
    <w:rsid w:val="5D0D982D"/>
    <w:rsid w:val="5D17A2AA"/>
    <w:rsid w:val="5D2354B9"/>
    <w:rsid w:val="5D73F4F3"/>
    <w:rsid w:val="5D8EB925"/>
    <w:rsid w:val="5D992980"/>
    <w:rsid w:val="5DD5BFE1"/>
    <w:rsid w:val="5DEB89F0"/>
    <w:rsid w:val="5DF0FC31"/>
    <w:rsid w:val="5E12CBA9"/>
    <w:rsid w:val="5E26B95E"/>
    <w:rsid w:val="5E8082C6"/>
    <w:rsid w:val="5F17D64C"/>
    <w:rsid w:val="5F1AA836"/>
    <w:rsid w:val="5F52CF0C"/>
    <w:rsid w:val="5F5E8E4D"/>
    <w:rsid w:val="5F8F439F"/>
    <w:rsid w:val="5FAA4AEC"/>
    <w:rsid w:val="5FEF05E7"/>
    <w:rsid w:val="6031DBA2"/>
    <w:rsid w:val="603630F6"/>
    <w:rsid w:val="6041060A"/>
    <w:rsid w:val="609FA9E7"/>
    <w:rsid w:val="60B6B4C7"/>
    <w:rsid w:val="60E01856"/>
    <w:rsid w:val="60EB20B7"/>
    <w:rsid w:val="610B454B"/>
    <w:rsid w:val="6129910C"/>
    <w:rsid w:val="61441DB4"/>
    <w:rsid w:val="61643956"/>
    <w:rsid w:val="618EF0B7"/>
    <w:rsid w:val="61923075"/>
    <w:rsid w:val="61C19537"/>
    <w:rsid w:val="61E2CAC9"/>
    <w:rsid w:val="61E4B0B5"/>
    <w:rsid w:val="61F0954E"/>
    <w:rsid w:val="61F72E7A"/>
    <w:rsid w:val="62300FC4"/>
    <w:rsid w:val="62438CDC"/>
    <w:rsid w:val="62983390"/>
    <w:rsid w:val="62B73668"/>
    <w:rsid w:val="62E7A463"/>
    <w:rsid w:val="630CC025"/>
    <w:rsid w:val="636ADAF1"/>
    <w:rsid w:val="6392B718"/>
    <w:rsid w:val="63B1E464"/>
    <w:rsid w:val="63B5AB40"/>
    <w:rsid w:val="63DA9F2F"/>
    <w:rsid w:val="6403D0FE"/>
    <w:rsid w:val="640C0802"/>
    <w:rsid w:val="64210574"/>
    <w:rsid w:val="64367A25"/>
    <w:rsid w:val="651E1724"/>
    <w:rsid w:val="651FA19D"/>
    <w:rsid w:val="654C542A"/>
    <w:rsid w:val="65A7CB60"/>
    <w:rsid w:val="65DE3E8F"/>
    <w:rsid w:val="65F40F30"/>
    <w:rsid w:val="665D5393"/>
    <w:rsid w:val="665D672F"/>
    <w:rsid w:val="667ED5FB"/>
    <w:rsid w:val="668846F3"/>
    <w:rsid w:val="669C642B"/>
    <w:rsid w:val="66AD094B"/>
    <w:rsid w:val="66AED0AD"/>
    <w:rsid w:val="66C6CCDA"/>
    <w:rsid w:val="66DAD78C"/>
    <w:rsid w:val="66DDD498"/>
    <w:rsid w:val="66E49232"/>
    <w:rsid w:val="66E6CAEC"/>
    <w:rsid w:val="671E9BBF"/>
    <w:rsid w:val="67400BC6"/>
    <w:rsid w:val="6743A8C4"/>
    <w:rsid w:val="6789610D"/>
    <w:rsid w:val="6789D09F"/>
    <w:rsid w:val="67E2278B"/>
    <w:rsid w:val="6821E658"/>
    <w:rsid w:val="6874E7CD"/>
    <w:rsid w:val="68CA7581"/>
    <w:rsid w:val="68F6C040"/>
    <w:rsid w:val="690A7901"/>
    <w:rsid w:val="691CFE75"/>
    <w:rsid w:val="69FCB5B0"/>
    <w:rsid w:val="6A029379"/>
    <w:rsid w:val="6A2AD928"/>
    <w:rsid w:val="6A36E479"/>
    <w:rsid w:val="6A4E78ED"/>
    <w:rsid w:val="6A76BA75"/>
    <w:rsid w:val="6A869957"/>
    <w:rsid w:val="6A8FB08D"/>
    <w:rsid w:val="6A927102"/>
    <w:rsid w:val="6AC192E4"/>
    <w:rsid w:val="6AC5A841"/>
    <w:rsid w:val="6AEF3E81"/>
    <w:rsid w:val="6AF05F8F"/>
    <w:rsid w:val="6AF5A8F2"/>
    <w:rsid w:val="6B56BCD2"/>
    <w:rsid w:val="6B742C9A"/>
    <w:rsid w:val="6BD2B4DA"/>
    <w:rsid w:val="6BE1DDD8"/>
    <w:rsid w:val="6C047064"/>
    <w:rsid w:val="6C1D1BCA"/>
    <w:rsid w:val="6C467EFC"/>
    <w:rsid w:val="6C5C61B2"/>
    <w:rsid w:val="6C608CE3"/>
    <w:rsid w:val="6C69B645"/>
    <w:rsid w:val="6C880C19"/>
    <w:rsid w:val="6CB4BA0B"/>
    <w:rsid w:val="6CC00755"/>
    <w:rsid w:val="6CCE13D3"/>
    <w:rsid w:val="6D1B2B60"/>
    <w:rsid w:val="6D2ECB7D"/>
    <w:rsid w:val="6D5E4BF1"/>
    <w:rsid w:val="6DEF0EF9"/>
    <w:rsid w:val="6E445816"/>
    <w:rsid w:val="6EDC9869"/>
    <w:rsid w:val="6F25A59F"/>
    <w:rsid w:val="6F350DE8"/>
    <w:rsid w:val="6F45F0BF"/>
    <w:rsid w:val="6F902CD2"/>
    <w:rsid w:val="6FD41A76"/>
    <w:rsid w:val="6FE02877"/>
    <w:rsid w:val="6FE983B9"/>
    <w:rsid w:val="7076971D"/>
    <w:rsid w:val="707868CA"/>
    <w:rsid w:val="7081E45B"/>
    <w:rsid w:val="70CA5341"/>
    <w:rsid w:val="70DE2534"/>
    <w:rsid w:val="70EAB4C1"/>
    <w:rsid w:val="70EF7F36"/>
    <w:rsid w:val="71172AF4"/>
    <w:rsid w:val="714AEF88"/>
    <w:rsid w:val="71525FAE"/>
    <w:rsid w:val="71740B52"/>
    <w:rsid w:val="719D2E8C"/>
    <w:rsid w:val="71D48427"/>
    <w:rsid w:val="7218E782"/>
    <w:rsid w:val="7236DDD5"/>
    <w:rsid w:val="72417116"/>
    <w:rsid w:val="728F8976"/>
    <w:rsid w:val="72989329"/>
    <w:rsid w:val="729D5FF0"/>
    <w:rsid w:val="72D5F64D"/>
    <w:rsid w:val="7397E7C2"/>
    <w:rsid w:val="74033D58"/>
    <w:rsid w:val="7436ABB4"/>
    <w:rsid w:val="74430996"/>
    <w:rsid w:val="745E93C2"/>
    <w:rsid w:val="7484DBAE"/>
    <w:rsid w:val="749D9EC1"/>
    <w:rsid w:val="74B073CF"/>
    <w:rsid w:val="74CD1062"/>
    <w:rsid w:val="74DAC5F0"/>
    <w:rsid w:val="74F92964"/>
    <w:rsid w:val="7512A5C0"/>
    <w:rsid w:val="752159A8"/>
    <w:rsid w:val="753FA816"/>
    <w:rsid w:val="754B316D"/>
    <w:rsid w:val="755BF167"/>
    <w:rsid w:val="75722D57"/>
    <w:rsid w:val="75DA5C3F"/>
    <w:rsid w:val="7607A3E2"/>
    <w:rsid w:val="760CE87A"/>
    <w:rsid w:val="76477C75"/>
    <w:rsid w:val="764F69FB"/>
    <w:rsid w:val="764F7EB5"/>
    <w:rsid w:val="76578ECF"/>
    <w:rsid w:val="767DEE5A"/>
    <w:rsid w:val="768AAC5E"/>
    <w:rsid w:val="769CFC7B"/>
    <w:rsid w:val="76AE2222"/>
    <w:rsid w:val="76D18395"/>
    <w:rsid w:val="7707A218"/>
    <w:rsid w:val="7735BAA0"/>
    <w:rsid w:val="77BC3A6F"/>
    <w:rsid w:val="77C67741"/>
    <w:rsid w:val="77C6E3FE"/>
    <w:rsid w:val="77E34CD6"/>
    <w:rsid w:val="7803C4F0"/>
    <w:rsid w:val="781FF604"/>
    <w:rsid w:val="78295722"/>
    <w:rsid w:val="78457A08"/>
    <w:rsid w:val="78B60E59"/>
    <w:rsid w:val="78DB31FD"/>
    <w:rsid w:val="78DE5CC7"/>
    <w:rsid w:val="791EFD73"/>
    <w:rsid w:val="7922F1DB"/>
    <w:rsid w:val="797933BA"/>
    <w:rsid w:val="79CF2D10"/>
    <w:rsid w:val="7A1F0D42"/>
    <w:rsid w:val="7A24E347"/>
    <w:rsid w:val="7A45034C"/>
    <w:rsid w:val="7A4510E2"/>
    <w:rsid w:val="7A62FAD5"/>
    <w:rsid w:val="7A73B59E"/>
    <w:rsid w:val="7AED6594"/>
    <w:rsid w:val="7B122A10"/>
    <w:rsid w:val="7B4AF800"/>
    <w:rsid w:val="7B6058B7"/>
    <w:rsid w:val="7B686AE8"/>
    <w:rsid w:val="7B86D180"/>
    <w:rsid w:val="7B8B14B7"/>
    <w:rsid w:val="7B8E485A"/>
    <w:rsid w:val="7B9BC2C2"/>
    <w:rsid w:val="7BC27883"/>
    <w:rsid w:val="7BE0E8C0"/>
    <w:rsid w:val="7C76AA80"/>
    <w:rsid w:val="7C853FE1"/>
    <w:rsid w:val="7CA55B74"/>
    <w:rsid w:val="7CC03F98"/>
    <w:rsid w:val="7CD28A49"/>
    <w:rsid w:val="7D0C28CF"/>
    <w:rsid w:val="7D37F02D"/>
    <w:rsid w:val="7D5D2092"/>
    <w:rsid w:val="7D641865"/>
    <w:rsid w:val="7D8A9981"/>
    <w:rsid w:val="7DB0F704"/>
    <w:rsid w:val="7DB8062C"/>
    <w:rsid w:val="7E09D561"/>
    <w:rsid w:val="7E7A992A"/>
    <w:rsid w:val="7E7E926C"/>
    <w:rsid w:val="7E7F8CA8"/>
    <w:rsid w:val="7EB84423"/>
    <w:rsid w:val="7ED9A75C"/>
    <w:rsid w:val="7F0FDB9D"/>
    <w:rsid w:val="7F304201"/>
    <w:rsid w:val="7F5DE60A"/>
    <w:rsid w:val="7F716387"/>
    <w:rsid w:val="7F7C90F4"/>
    <w:rsid w:val="7FB8C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820E3"/>
  <w15:chartTrackingRefBased/>
  <w15:docId w15:val="{0A2ECAE3-D780-EB47-B6FB-73FD33B6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06B9"/>
    <w:rPr>
      <w:sz w:val="20"/>
      <w:szCs w:val="20"/>
    </w:rPr>
  </w:style>
  <w:style w:type="character" w:customStyle="1" w:styleId="FootnoteTextChar">
    <w:name w:val="Footnote Text Char"/>
    <w:basedOn w:val="DefaultParagraphFont"/>
    <w:link w:val="FootnoteText"/>
    <w:uiPriority w:val="99"/>
    <w:semiHidden/>
    <w:rsid w:val="007206B9"/>
    <w:rPr>
      <w:sz w:val="20"/>
      <w:szCs w:val="20"/>
    </w:rPr>
  </w:style>
  <w:style w:type="character" w:styleId="FootnoteReference">
    <w:name w:val="footnote reference"/>
    <w:basedOn w:val="DefaultParagraphFont"/>
    <w:uiPriority w:val="99"/>
    <w:unhideWhenUsed/>
    <w:rsid w:val="007206B9"/>
    <w:rPr>
      <w:vertAlign w:val="superscript"/>
    </w:rPr>
  </w:style>
  <w:style w:type="character" w:styleId="Hyperlink">
    <w:name w:val="Hyperlink"/>
    <w:basedOn w:val="DefaultParagraphFont"/>
    <w:uiPriority w:val="99"/>
    <w:unhideWhenUsed/>
    <w:rsid w:val="007206B9"/>
    <w:rPr>
      <w:color w:val="0563C1" w:themeColor="hyperlink"/>
      <w:u w:val="single"/>
    </w:rPr>
  </w:style>
  <w:style w:type="paragraph" w:styleId="ListParagraph">
    <w:name w:val="List Paragraph"/>
    <w:basedOn w:val="Normal"/>
    <w:uiPriority w:val="34"/>
    <w:qFormat/>
    <w:rsid w:val="00E52134"/>
    <w:pPr>
      <w:ind w:left="720"/>
      <w:contextualSpacing/>
    </w:pPr>
  </w:style>
  <w:style w:type="character" w:styleId="FollowedHyperlink">
    <w:name w:val="FollowedHyperlink"/>
    <w:basedOn w:val="DefaultParagraphFont"/>
    <w:uiPriority w:val="99"/>
    <w:semiHidden/>
    <w:unhideWhenUsed/>
    <w:rsid w:val="00D8538A"/>
    <w:rPr>
      <w:color w:val="954F72" w:themeColor="followedHyperlink"/>
      <w:u w:val="single"/>
    </w:rPr>
  </w:style>
  <w:style w:type="character" w:styleId="UnresolvedMention">
    <w:name w:val="Unresolved Mention"/>
    <w:basedOn w:val="DefaultParagraphFont"/>
    <w:uiPriority w:val="99"/>
    <w:semiHidden/>
    <w:unhideWhenUsed/>
    <w:rsid w:val="00C81381"/>
    <w:rPr>
      <w:color w:val="605E5C"/>
      <w:shd w:val="clear" w:color="auto" w:fill="E1DFDD"/>
    </w:rPr>
  </w:style>
  <w:style w:type="character" w:styleId="CommentReference">
    <w:name w:val="annotation reference"/>
    <w:basedOn w:val="DefaultParagraphFont"/>
    <w:uiPriority w:val="99"/>
    <w:semiHidden/>
    <w:unhideWhenUsed/>
    <w:rsid w:val="005C6722"/>
    <w:rPr>
      <w:sz w:val="16"/>
      <w:szCs w:val="16"/>
    </w:rPr>
  </w:style>
  <w:style w:type="paragraph" w:styleId="CommentText">
    <w:name w:val="annotation text"/>
    <w:basedOn w:val="Normal"/>
    <w:link w:val="CommentTextChar"/>
    <w:uiPriority w:val="99"/>
    <w:semiHidden/>
    <w:unhideWhenUsed/>
    <w:rsid w:val="005C6722"/>
    <w:rPr>
      <w:sz w:val="20"/>
      <w:szCs w:val="20"/>
    </w:rPr>
  </w:style>
  <w:style w:type="character" w:customStyle="1" w:styleId="CommentTextChar">
    <w:name w:val="Comment Text Char"/>
    <w:basedOn w:val="DefaultParagraphFont"/>
    <w:link w:val="CommentText"/>
    <w:uiPriority w:val="99"/>
    <w:semiHidden/>
    <w:rsid w:val="005C6722"/>
    <w:rPr>
      <w:sz w:val="20"/>
      <w:szCs w:val="20"/>
    </w:rPr>
  </w:style>
  <w:style w:type="paragraph" w:styleId="CommentSubject">
    <w:name w:val="annotation subject"/>
    <w:basedOn w:val="CommentText"/>
    <w:next w:val="CommentText"/>
    <w:link w:val="CommentSubjectChar"/>
    <w:uiPriority w:val="99"/>
    <w:semiHidden/>
    <w:unhideWhenUsed/>
    <w:rsid w:val="005C6722"/>
    <w:rPr>
      <w:b/>
      <w:bCs/>
    </w:rPr>
  </w:style>
  <w:style w:type="character" w:customStyle="1" w:styleId="CommentSubjectChar">
    <w:name w:val="Comment Subject Char"/>
    <w:basedOn w:val="CommentTextChar"/>
    <w:link w:val="CommentSubject"/>
    <w:uiPriority w:val="99"/>
    <w:semiHidden/>
    <w:rsid w:val="005C6722"/>
    <w:rPr>
      <w:b/>
      <w:bCs/>
      <w:sz w:val="20"/>
      <w:szCs w:val="20"/>
    </w:rPr>
  </w:style>
  <w:style w:type="paragraph" w:styleId="Revision">
    <w:name w:val="Revision"/>
    <w:hidden/>
    <w:uiPriority w:val="99"/>
    <w:semiHidden/>
    <w:rsid w:val="00BB0E7D"/>
  </w:style>
  <w:style w:type="paragraph" w:styleId="EndnoteText">
    <w:name w:val="endnote text"/>
    <w:basedOn w:val="Normal"/>
    <w:link w:val="EndnoteTextChar"/>
    <w:uiPriority w:val="99"/>
    <w:semiHidden/>
    <w:unhideWhenUsed/>
    <w:rsid w:val="00EF61E3"/>
    <w:rPr>
      <w:sz w:val="20"/>
      <w:szCs w:val="20"/>
    </w:rPr>
  </w:style>
  <w:style w:type="character" w:customStyle="1" w:styleId="EndnoteTextChar">
    <w:name w:val="Endnote Text Char"/>
    <w:basedOn w:val="DefaultParagraphFont"/>
    <w:link w:val="EndnoteText"/>
    <w:uiPriority w:val="99"/>
    <w:semiHidden/>
    <w:rsid w:val="00EF61E3"/>
    <w:rPr>
      <w:sz w:val="20"/>
      <w:szCs w:val="20"/>
    </w:rPr>
  </w:style>
  <w:style w:type="character" w:styleId="EndnoteReference">
    <w:name w:val="endnote reference"/>
    <w:basedOn w:val="DefaultParagraphFont"/>
    <w:uiPriority w:val="99"/>
    <w:semiHidden/>
    <w:unhideWhenUsed/>
    <w:rsid w:val="00EF61E3"/>
    <w:rPr>
      <w:vertAlign w:val="superscript"/>
    </w:rPr>
  </w:style>
  <w:style w:type="paragraph" w:styleId="Header">
    <w:name w:val="header"/>
    <w:basedOn w:val="Normal"/>
    <w:link w:val="HeaderChar"/>
    <w:uiPriority w:val="99"/>
    <w:unhideWhenUsed/>
    <w:rsid w:val="00677827"/>
    <w:pPr>
      <w:tabs>
        <w:tab w:val="center" w:pos="4680"/>
        <w:tab w:val="right" w:pos="9360"/>
      </w:tabs>
    </w:pPr>
  </w:style>
  <w:style w:type="character" w:customStyle="1" w:styleId="HeaderChar">
    <w:name w:val="Header Char"/>
    <w:basedOn w:val="DefaultParagraphFont"/>
    <w:link w:val="Header"/>
    <w:uiPriority w:val="99"/>
    <w:rsid w:val="00677827"/>
  </w:style>
  <w:style w:type="paragraph" w:styleId="Footer">
    <w:name w:val="footer"/>
    <w:basedOn w:val="Normal"/>
    <w:link w:val="FooterChar"/>
    <w:uiPriority w:val="99"/>
    <w:unhideWhenUsed/>
    <w:rsid w:val="00677827"/>
    <w:pPr>
      <w:tabs>
        <w:tab w:val="center" w:pos="4680"/>
        <w:tab w:val="right" w:pos="9360"/>
      </w:tabs>
    </w:pPr>
  </w:style>
  <w:style w:type="character" w:customStyle="1" w:styleId="FooterChar">
    <w:name w:val="Footer Char"/>
    <w:basedOn w:val="DefaultParagraphFont"/>
    <w:link w:val="Footer"/>
    <w:uiPriority w:val="99"/>
    <w:rsid w:val="0067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209">
      <w:bodyDiv w:val="1"/>
      <w:marLeft w:val="0"/>
      <w:marRight w:val="0"/>
      <w:marTop w:val="0"/>
      <w:marBottom w:val="0"/>
      <w:divBdr>
        <w:top w:val="none" w:sz="0" w:space="0" w:color="auto"/>
        <w:left w:val="none" w:sz="0" w:space="0" w:color="auto"/>
        <w:bottom w:val="none" w:sz="0" w:space="0" w:color="auto"/>
        <w:right w:val="none" w:sz="0" w:space="0" w:color="auto"/>
      </w:divBdr>
      <w:divsChild>
        <w:div w:id="1319847360">
          <w:marLeft w:val="0"/>
          <w:marRight w:val="0"/>
          <w:marTop w:val="0"/>
          <w:marBottom w:val="0"/>
          <w:divBdr>
            <w:top w:val="none" w:sz="0" w:space="0" w:color="auto"/>
            <w:left w:val="none" w:sz="0" w:space="0" w:color="auto"/>
            <w:bottom w:val="none" w:sz="0" w:space="0" w:color="auto"/>
            <w:right w:val="none" w:sz="0" w:space="0" w:color="auto"/>
          </w:divBdr>
          <w:divsChild>
            <w:div w:id="186259653">
              <w:marLeft w:val="0"/>
              <w:marRight w:val="0"/>
              <w:marTop w:val="0"/>
              <w:marBottom w:val="0"/>
              <w:divBdr>
                <w:top w:val="none" w:sz="0" w:space="0" w:color="auto"/>
                <w:left w:val="none" w:sz="0" w:space="0" w:color="auto"/>
                <w:bottom w:val="none" w:sz="0" w:space="0" w:color="auto"/>
                <w:right w:val="none" w:sz="0" w:space="0" w:color="auto"/>
              </w:divBdr>
              <w:divsChild>
                <w:div w:id="415909046">
                  <w:marLeft w:val="0"/>
                  <w:marRight w:val="0"/>
                  <w:marTop w:val="0"/>
                  <w:marBottom w:val="0"/>
                  <w:divBdr>
                    <w:top w:val="none" w:sz="0" w:space="0" w:color="auto"/>
                    <w:left w:val="none" w:sz="0" w:space="0" w:color="auto"/>
                    <w:bottom w:val="none" w:sz="0" w:space="0" w:color="auto"/>
                    <w:right w:val="none" w:sz="0" w:space="0" w:color="auto"/>
                  </w:divBdr>
                  <w:divsChild>
                    <w:div w:id="19204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74053">
      <w:bodyDiv w:val="1"/>
      <w:marLeft w:val="0"/>
      <w:marRight w:val="0"/>
      <w:marTop w:val="0"/>
      <w:marBottom w:val="0"/>
      <w:divBdr>
        <w:top w:val="none" w:sz="0" w:space="0" w:color="auto"/>
        <w:left w:val="none" w:sz="0" w:space="0" w:color="auto"/>
        <w:bottom w:val="none" w:sz="0" w:space="0" w:color="auto"/>
        <w:right w:val="none" w:sz="0" w:space="0" w:color="auto"/>
      </w:divBdr>
    </w:div>
    <w:div w:id="1319574484">
      <w:bodyDiv w:val="1"/>
      <w:marLeft w:val="0"/>
      <w:marRight w:val="0"/>
      <w:marTop w:val="0"/>
      <w:marBottom w:val="0"/>
      <w:divBdr>
        <w:top w:val="none" w:sz="0" w:space="0" w:color="auto"/>
        <w:left w:val="none" w:sz="0" w:space="0" w:color="auto"/>
        <w:bottom w:val="none" w:sz="0" w:space="0" w:color="auto"/>
        <w:right w:val="none" w:sz="0" w:space="0" w:color="auto"/>
      </w:divBdr>
      <w:divsChild>
        <w:div w:id="748117078">
          <w:marLeft w:val="0"/>
          <w:marRight w:val="0"/>
          <w:marTop w:val="0"/>
          <w:marBottom w:val="0"/>
          <w:divBdr>
            <w:top w:val="none" w:sz="0" w:space="0" w:color="auto"/>
            <w:left w:val="none" w:sz="0" w:space="0" w:color="auto"/>
            <w:bottom w:val="none" w:sz="0" w:space="0" w:color="auto"/>
            <w:right w:val="none" w:sz="0" w:space="0" w:color="auto"/>
          </w:divBdr>
        </w:div>
        <w:div w:id="1796946036">
          <w:marLeft w:val="0"/>
          <w:marRight w:val="0"/>
          <w:marTop w:val="0"/>
          <w:marBottom w:val="0"/>
          <w:divBdr>
            <w:top w:val="none" w:sz="0" w:space="0" w:color="auto"/>
            <w:left w:val="none" w:sz="0" w:space="0" w:color="auto"/>
            <w:bottom w:val="none" w:sz="0" w:space="0" w:color="auto"/>
            <w:right w:val="none" w:sz="0" w:space="0" w:color="auto"/>
          </w:divBdr>
        </w:div>
      </w:divsChild>
    </w:div>
    <w:div w:id="1407533713">
      <w:bodyDiv w:val="1"/>
      <w:marLeft w:val="0"/>
      <w:marRight w:val="0"/>
      <w:marTop w:val="0"/>
      <w:marBottom w:val="0"/>
      <w:divBdr>
        <w:top w:val="none" w:sz="0" w:space="0" w:color="auto"/>
        <w:left w:val="none" w:sz="0" w:space="0" w:color="auto"/>
        <w:bottom w:val="none" w:sz="0" w:space="0" w:color="auto"/>
        <w:right w:val="none" w:sz="0" w:space="0" w:color="auto"/>
      </w:divBdr>
    </w:div>
    <w:div w:id="1769957741">
      <w:bodyDiv w:val="1"/>
      <w:marLeft w:val="0"/>
      <w:marRight w:val="0"/>
      <w:marTop w:val="0"/>
      <w:marBottom w:val="0"/>
      <w:divBdr>
        <w:top w:val="none" w:sz="0" w:space="0" w:color="auto"/>
        <w:left w:val="none" w:sz="0" w:space="0" w:color="auto"/>
        <w:bottom w:val="none" w:sz="0" w:space="0" w:color="auto"/>
        <w:right w:val="none" w:sz="0" w:space="0" w:color="auto"/>
      </w:divBdr>
    </w:div>
    <w:div w:id="2134446399">
      <w:bodyDiv w:val="1"/>
      <w:marLeft w:val="0"/>
      <w:marRight w:val="0"/>
      <w:marTop w:val="0"/>
      <w:marBottom w:val="0"/>
      <w:divBdr>
        <w:top w:val="none" w:sz="0" w:space="0" w:color="auto"/>
        <w:left w:val="none" w:sz="0" w:space="0" w:color="auto"/>
        <w:bottom w:val="none" w:sz="0" w:space="0" w:color="auto"/>
        <w:right w:val="none" w:sz="0" w:space="0" w:color="auto"/>
      </w:divBdr>
      <w:divsChild>
        <w:div w:id="606693687">
          <w:marLeft w:val="0"/>
          <w:marRight w:val="0"/>
          <w:marTop w:val="0"/>
          <w:marBottom w:val="0"/>
          <w:divBdr>
            <w:top w:val="none" w:sz="0" w:space="0" w:color="auto"/>
            <w:left w:val="none" w:sz="0" w:space="0" w:color="auto"/>
            <w:bottom w:val="none" w:sz="0" w:space="0" w:color="auto"/>
            <w:right w:val="none" w:sz="0" w:space="0" w:color="auto"/>
          </w:divBdr>
          <w:divsChild>
            <w:div w:id="546187354">
              <w:marLeft w:val="0"/>
              <w:marRight w:val="0"/>
              <w:marTop w:val="0"/>
              <w:marBottom w:val="0"/>
              <w:divBdr>
                <w:top w:val="none" w:sz="0" w:space="0" w:color="auto"/>
                <w:left w:val="none" w:sz="0" w:space="0" w:color="auto"/>
                <w:bottom w:val="none" w:sz="0" w:space="0" w:color="auto"/>
                <w:right w:val="none" w:sz="0" w:space="0" w:color="auto"/>
              </w:divBdr>
              <w:divsChild>
                <w:div w:id="651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86014">
      <w:bodyDiv w:val="1"/>
      <w:marLeft w:val="0"/>
      <w:marRight w:val="0"/>
      <w:marTop w:val="0"/>
      <w:marBottom w:val="0"/>
      <w:divBdr>
        <w:top w:val="none" w:sz="0" w:space="0" w:color="auto"/>
        <w:left w:val="none" w:sz="0" w:space="0" w:color="auto"/>
        <w:bottom w:val="none" w:sz="0" w:space="0" w:color="auto"/>
        <w:right w:val="none" w:sz="0" w:space="0" w:color="auto"/>
      </w:divBdr>
      <w:divsChild>
        <w:div w:id="219680465">
          <w:marLeft w:val="0"/>
          <w:marRight w:val="0"/>
          <w:marTop w:val="0"/>
          <w:marBottom w:val="0"/>
          <w:divBdr>
            <w:top w:val="none" w:sz="0" w:space="0" w:color="auto"/>
            <w:left w:val="none" w:sz="0" w:space="0" w:color="auto"/>
            <w:bottom w:val="none" w:sz="0" w:space="0" w:color="auto"/>
            <w:right w:val="none" w:sz="0" w:space="0" w:color="auto"/>
          </w:divBdr>
          <w:divsChild>
            <w:div w:id="1337999441">
              <w:marLeft w:val="0"/>
              <w:marRight w:val="0"/>
              <w:marTop w:val="0"/>
              <w:marBottom w:val="0"/>
              <w:divBdr>
                <w:top w:val="none" w:sz="0" w:space="0" w:color="auto"/>
                <w:left w:val="none" w:sz="0" w:space="0" w:color="auto"/>
                <w:bottom w:val="none" w:sz="0" w:space="0" w:color="auto"/>
                <w:right w:val="none" w:sz="0" w:space="0" w:color="auto"/>
              </w:divBdr>
              <w:divsChild>
                <w:div w:id="6396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nytimes.com/2025/03/02/climate/trump-us-climate-policy-changes.html" TargetMode="External"/><Relationship Id="rId13" Type="http://schemas.openxmlformats.org/officeDocument/2006/relationships/hyperlink" Target="https://www.foodmanufacture.co.uk/Article/2024/06/03/How-Mondelez-is-defining-regenerative-farming/" TargetMode="External"/><Relationship Id="rId18" Type="http://schemas.openxmlformats.org/officeDocument/2006/relationships/hyperlink" Target="https://www.generalmills.com/how-we-make-it/building-strong-communities/civic-involvement/public-policy-engagement" TargetMode="External"/><Relationship Id="rId26" Type="http://schemas.openxmlformats.org/officeDocument/2006/relationships/hyperlink" Target="https://www.microsoft.com/en-us/corporate-responsibility/public-policy-engagement" TargetMode="External"/><Relationship Id="rId3" Type="http://schemas.openxmlformats.org/officeDocument/2006/relationships/hyperlink" Target="https://www.opensecrets.org/orgs/mondelez-international/summary?id=D000067057" TargetMode="External"/><Relationship Id="rId21" Type="http://schemas.openxmlformats.org/officeDocument/2006/relationships/hyperlink" Target="https://www.apple.com/environment/pdf/Apple_CDP-Climate-Change-Questionnaire_2024.pdf" TargetMode="External"/><Relationship Id="rId7" Type="http://schemas.openxmlformats.org/officeDocument/2006/relationships/hyperlink" Target="https://www.courthousenews.com/judge-dismisses-in-part-us-chamber-of-commerce-lawsuit-over-california-climate-laws/" TargetMode="External"/><Relationship Id="rId12" Type="http://schemas.openxmlformats.org/officeDocument/2006/relationships/hyperlink" Target="https://www.usda.gov/about-usda/news/press-releases/2023/02/13/biden-harris-administration-announces-availability-inflation-reduction-act-funding-climate-smart" TargetMode="External"/><Relationship Id="rId17" Type="http://schemas.openxmlformats.org/officeDocument/2006/relationships/hyperlink" Target="https://www.unilever.com/files/unilever-cdp-climate-change-questionnaire-2023.pdf" TargetMode="External"/><Relationship Id="rId25" Type="http://schemas.openxmlformats.org/officeDocument/2006/relationships/hyperlink" Target="https://www.bp.com/en/global/corporate/sustainability/our-approach-to-sustainability/policy-and-advocacy.html" TargetMode="External"/><Relationship Id="rId2" Type="http://schemas.openxmlformats.org/officeDocument/2006/relationships/hyperlink" Target="https://www.sec.gov/ix?doc=/Archives/edgar/data/0001103982/000110398225000030/mdlz-20241231.htm" TargetMode="External"/><Relationship Id="rId16" Type="http://schemas.openxmlformats.org/officeDocument/2006/relationships/hyperlink" Target="https://www.generalmills.com/how-we-make-it/building-strong-communities/civic-involvement/civic-policy" TargetMode="External"/><Relationship Id="rId20" Type="http://schemas.openxmlformats.org/officeDocument/2006/relationships/hyperlink" Target="https://www.apple.com/environment/pdf/Apple_Environmental_Progress_Report_2024.pdf" TargetMode="External"/><Relationship Id="rId29" Type="http://schemas.openxmlformats.org/officeDocument/2006/relationships/hyperlink" Target="https://investor.gm.com/static-files/210fa676-989e-4703-a4a5-8ff5bc5599a3" TargetMode="External"/><Relationship Id="rId1" Type="http://schemas.openxmlformats.org/officeDocument/2006/relationships/hyperlink" Target="https://ir.mondelezinternational.com/news-releases/news-release-details/mondelez-internationals-near-term-2030-targets-and-2050-net-zero" TargetMode="External"/><Relationship Id="rId6" Type="http://schemas.openxmlformats.org/officeDocument/2006/relationships/hyperlink" Target="https://nca2023.globalchange.gov/chapter/11/" TargetMode="External"/><Relationship Id="rId11" Type="http://schemas.openxmlformats.org/officeDocument/2006/relationships/hyperlink" Target="https://www.opensecrets.org/federal-lobbying/clients/summary?cycle=2024&amp;id=D000067057" TargetMode="External"/><Relationship Id="rId24" Type="http://schemas.openxmlformats.org/officeDocument/2006/relationships/hyperlink" Target="https://investor.honeywell.com/static-files/8fcf82b8-9576-4cd0-a555-a75883618f71" TargetMode="External"/><Relationship Id="rId32" Type="http://schemas.openxmlformats.org/officeDocument/2006/relationships/hyperlink" Target="https://www.eenews.net/articles/exxon-leaves-oil-lobbying-group-over-climate-differences/" TargetMode="External"/><Relationship Id="rId5" Type="http://schemas.openxmlformats.org/officeDocument/2006/relationships/hyperlink" Target="https://www.sec.gov/ix?doc=/Archives/edgar/data/0001103982/000130817924000465/lmdlz2024_def14a.htm" TargetMode="External"/><Relationship Id="rId15" Type="http://schemas.openxmlformats.org/officeDocument/2006/relationships/hyperlink" Target="https://www.mondelezinternational.com/assets/Snacking-Made-Right/SMR-Report/2023/Mondelez_International_CDP_Response_2023.pdf" TargetMode="External"/><Relationship Id="rId23" Type="http://schemas.openxmlformats.org/officeDocument/2006/relationships/hyperlink" Target="https://www.pepsico.com/our-impact/esg-topics-a-z/public-policy-engagement-political-activities-and-contribution-guidelines" TargetMode="External"/><Relationship Id="rId28" Type="http://schemas.openxmlformats.org/officeDocument/2006/relationships/hyperlink" Target="https://corporate.ford.com/content/dam/corporate/us/en-us/documents/reports/Political-Disclosure-Report-2023.pdf" TargetMode="External"/><Relationship Id="rId10" Type="http://schemas.openxmlformats.org/officeDocument/2006/relationships/hyperlink" Target="https://www.wbcsd.org/resources/sowing-change-eu-policy-opportunities-to-scale-regenerative-agriculture/" TargetMode="External"/><Relationship Id="rId19" Type="http://schemas.openxmlformats.org/officeDocument/2006/relationships/hyperlink" Target="https://www.unilever.com/files/unilever-climate-policy-engagement-review.pdf" TargetMode="External"/><Relationship Id="rId31" Type="http://schemas.openxmlformats.org/officeDocument/2006/relationships/hyperlink" Target="https://www.iccr.org/reports/leading-lobbying-practices-to-drive-1-5c-policy-action/" TargetMode="External"/><Relationship Id="rId4" Type="http://schemas.openxmlformats.org/officeDocument/2006/relationships/hyperlink" Target="https://www.sec.gov/ix?doc=/Archives/edgar/data/0001103982/000110398225000030/mdlz-20241231.htm" TargetMode="External"/><Relationship Id="rId9" Type="http://schemas.openxmlformats.org/officeDocument/2006/relationships/hyperlink" Target="https://www.ft.com/content/f5e59ab2-349b-42e5-ba3f-473f92684449" TargetMode="External"/><Relationship Id="rId14" Type="http://schemas.openxmlformats.org/officeDocument/2006/relationships/hyperlink" Target="https://www.sec.gov/ix?doc=/Archives/edgar/data/0001103982/000110398225000030/mdlz-20241231.htm" TargetMode="External"/><Relationship Id="rId22" Type="http://schemas.openxmlformats.org/officeDocument/2006/relationships/hyperlink" Target="https://esghub.delta.com/content/esg/en/2023/2023-climate-lobbying.html" TargetMode="External"/><Relationship Id="rId27" Type="http://schemas.openxmlformats.org/officeDocument/2006/relationships/hyperlink" Target="https://www.csx.com/share/wwwcsx15/assets/File/About_Us/CSX-Industry-Association-and-Climate-Review-final.pdf" TargetMode="External"/><Relationship Id="rId30" Type="http://schemas.openxmlformats.org/officeDocument/2006/relationships/hyperlink" Target="https://reports.shell.com/climate-and-energy-transition-lobbying-repor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FCDBADF19F145ADE18FBBC6F01145" ma:contentTypeVersion="18" ma:contentTypeDescription="Create a new document." ma:contentTypeScope="" ma:versionID="16ea07a9017b1274114cac125e64b50b">
  <xsd:schema xmlns:xsd="http://www.w3.org/2001/XMLSchema" xmlns:xs="http://www.w3.org/2001/XMLSchema" xmlns:p="http://schemas.microsoft.com/office/2006/metadata/properties" xmlns:ns2="eeaaac97-eb9c-4a69-a39f-30762eaefe0e" xmlns:ns3="8f604912-62c8-4c23-88f9-df589153682b" targetNamespace="http://schemas.microsoft.com/office/2006/metadata/properties" ma:root="true" ma:fieldsID="89760557808eaad4b8ef867c0936bc64" ns2:_="" ns3:_="">
    <xsd:import namespace="eeaaac97-eb9c-4a69-a39f-30762eaefe0e"/>
    <xsd:import namespace="8f604912-62c8-4c23-88f9-df58915368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ServiceObjectDetectorVersions" minOccurs="0"/>
                <xsd:element ref="ns2:MediaServiceSearchProperties" minOccurs="0"/>
                <xsd:element ref="ns2:Publish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aac97-eb9c-4a69-a39f-30762eae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63212a-8353-480a-ac72-8ef71277c4e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ublishedDate" ma:index="25" nillable="true" ma:displayName="Published Date" ma:format="DateOnly" ma:internalName="Publish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604912-62c8-4c23-88f9-df58915368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aac97-eb9c-4a69-a39f-30762eaefe0e">
      <Terms xmlns="http://schemas.microsoft.com/office/infopath/2007/PartnerControls"/>
    </lcf76f155ced4ddcb4097134ff3c332f>
    <PublishedDate xmlns="eeaaac97-eb9c-4a69-a39f-30762eaefe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03DE8-2EC4-47AB-92BC-6AD79D0C6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aac97-eb9c-4a69-a39f-30762eaefe0e"/>
    <ds:schemaRef ds:uri="8f604912-62c8-4c23-88f9-df5891536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F1E1D-E86A-46DC-A30B-ADFC4258AE88}">
  <ds:schemaRefs>
    <ds:schemaRef ds:uri="http://schemas.microsoft.com/office/2006/metadata/properties"/>
    <ds:schemaRef ds:uri="http://schemas.microsoft.com/office/infopath/2007/PartnerControls"/>
    <ds:schemaRef ds:uri="eeaaac97-eb9c-4a69-a39f-30762eaefe0e"/>
  </ds:schemaRefs>
</ds:datastoreItem>
</file>

<file path=customXml/itemProps3.xml><?xml version="1.0" encoding="utf-8"?>
<ds:datastoreItem xmlns:ds="http://schemas.openxmlformats.org/officeDocument/2006/customXml" ds:itemID="{975CDD37-36FF-AB4E-B778-51D452C7C8EE}">
  <ds:schemaRefs>
    <ds:schemaRef ds:uri="http://schemas.openxmlformats.org/officeDocument/2006/bibliography"/>
  </ds:schemaRefs>
</ds:datastoreItem>
</file>

<file path=customXml/itemProps4.xml><?xml version="1.0" encoding="utf-8"?>
<ds:datastoreItem xmlns:ds="http://schemas.openxmlformats.org/officeDocument/2006/customXml" ds:itemID="{1122D4CB-09A6-4E9C-AAEC-4B2D05F71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Brennan</dc:creator>
  <cp:keywords/>
  <dc:description/>
  <cp:lastModifiedBy>Jay Zubillaga</cp:lastModifiedBy>
  <cp:revision>11</cp:revision>
  <cp:lastPrinted>2024-04-01T16:43:00Z</cp:lastPrinted>
  <dcterms:created xsi:type="dcterms:W3CDTF">2025-02-26T21:30:00Z</dcterms:created>
  <dcterms:modified xsi:type="dcterms:W3CDTF">2025-04-08T17:54:00Z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0x010100905FCDBADF19F145ADE18FBBC6F01145</vt:lpwstr>
  </property>
  <property fmtid="{D5CDD505-2E9C-101B-9397-08002B2CF9AE}" pid="3" name="MediaServiceImageTags">
    <vt:lpwstr/>
  </property>
</Properties>
</file>