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9D14" w14:textId="77777777" w:rsidR="00EC253E" w:rsidRPr="00DA36E6" w:rsidRDefault="00EC253E" w:rsidP="00EA1787">
      <w:pPr>
        <w:jc w:val="center"/>
        <w:rPr>
          <w:rFonts w:ascii="Tw Cen MT" w:hAnsi="Tw Cen MT"/>
        </w:rPr>
      </w:pPr>
      <w:bookmarkStart w:id="0" w:name="OLE_LINK6"/>
      <w:bookmarkStart w:id="1" w:name="OLE_LINK7"/>
      <w:r w:rsidRPr="00DA36E6">
        <w:rPr>
          <w:rFonts w:ascii="Tw Cen MT" w:hAnsi="Tw Cen MT"/>
        </w:rPr>
        <w:t xml:space="preserve">United States Securities and Exchange Commission </w:t>
      </w:r>
      <w:r w:rsidRPr="00DA36E6">
        <w:rPr>
          <w:rFonts w:ascii="Tw Cen MT" w:hAnsi="Tw Cen MT"/>
        </w:rPr>
        <w:br/>
        <w:t>Washington, D.C. 20549</w:t>
      </w:r>
    </w:p>
    <w:p w14:paraId="3E1BDE6F" w14:textId="77777777" w:rsidR="00EC253E" w:rsidRPr="00DA36E6" w:rsidRDefault="00EC253E" w:rsidP="00B7277D">
      <w:pPr>
        <w:jc w:val="center"/>
        <w:rPr>
          <w:rFonts w:ascii="Tw Cen MT" w:hAnsi="Tw Cen MT"/>
        </w:rPr>
      </w:pPr>
    </w:p>
    <w:p w14:paraId="4E311DD1" w14:textId="77777777" w:rsidR="00EC253E" w:rsidRPr="00DA36E6" w:rsidRDefault="00EC253E" w:rsidP="00B7277D">
      <w:pPr>
        <w:jc w:val="center"/>
        <w:rPr>
          <w:rFonts w:ascii="Tw Cen MT" w:hAnsi="Tw Cen MT"/>
        </w:rPr>
      </w:pPr>
      <w:r w:rsidRPr="00DA36E6">
        <w:rPr>
          <w:rFonts w:ascii="Tw Cen MT" w:hAnsi="Tw Cen MT"/>
        </w:rPr>
        <w:t xml:space="preserve">NOTICE OF EXEMPT SOLICITATION </w:t>
      </w:r>
      <w:r w:rsidRPr="00DA36E6">
        <w:rPr>
          <w:rFonts w:ascii="Tw Cen MT" w:hAnsi="Tw Cen MT"/>
        </w:rPr>
        <w:br/>
        <w:t>Pursuant to Rule 14a-103</w:t>
      </w:r>
    </w:p>
    <w:p w14:paraId="4D51BE6E" w14:textId="77777777" w:rsidR="00EC253E" w:rsidRPr="00DA36E6" w:rsidRDefault="00EC253E" w:rsidP="00FF74AC">
      <w:pPr>
        <w:rPr>
          <w:rFonts w:ascii="Tw Cen MT" w:hAnsi="Tw Cen MT"/>
        </w:rPr>
      </w:pPr>
    </w:p>
    <w:p w14:paraId="25C6C218" w14:textId="77777777" w:rsidR="00EC253E" w:rsidRPr="00DA36E6" w:rsidRDefault="00EC253E" w:rsidP="00FF74AC">
      <w:pPr>
        <w:rPr>
          <w:rFonts w:ascii="Tw Cen MT" w:hAnsi="Tw Cen MT"/>
        </w:rPr>
      </w:pPr>
      <w:r w:rsidRPr="00DA36E6">
        <w:rPr>
          <w:rFonts w:ascii="Tw Cen MT" w:hAnsi="Tw Cen MT"/>
        </w:rPr>
        <w:t xml:space="preserve">United States Securities and Exchange Commission </w:t>
      </w:r>
    </w:p>
    <w:p w14:paraId="5510D6FA" w14:textId="77777777" w:rsidR="00EC253E" w:rsidRPr="00DA36E6" w:rsidRDefault="00EC253E" w:rsidP="00FF74AC">
      <w:pPr>
        <w:rPr>
          <w:rFonts w:ascii="Tw Cen MT" w:hAnsi="Tw Cen MT"/>
        </w:rPr>
      </w:pPr>
      <w:r w:rsidRPr="00DA36E6">
        <w:rPr>
          <w:rFonts w:ascii="Tw Cen MT" w:hAnsi="Tw Cen MT"/>
        </w:rPr>
        <w:t>Washington, D.C. 20549</w:t>
      </w:r>
    </w:p>
    <w:p w14:paraId="021420DF" w14:textId="77777777" w:rsidR="00EC253E" w:rsidRPr="00DA36E6" w:rsidRDefault="00EC253E" w:rsidP="00FF74AC">
      <w:pPr>
        <w:rPr>
          <w:rFonts w:ascii="Tw Cen MT" w:hAnsi="Tw Cen MT"/>
        </w:rPr>
      </w:pPr>
    </w:p>
    <w:p w14:paraId="593DBBA4" w14:textId="77777777" w:rsidR="00EC253E" w:rsidRPr="00DA36E6" w:rsidRDefault="00EC253E" w:rsidP="00FF74AC">
      <w:pPr>
        <w:rPr>
          <w:rFonts w:ascii="Tw Cen MT" w:hAnsi="Tw Cen MT"/>
        </w:rPr>
      </w:pPr>
      <w:r w:rsidRPr="00DA36E6">
        <w:rPr>
          <w:rFonts w:ascii="Tw Cen MT" w:hAnsi="Tw Cen MT"/>
        </w:rPr>
        <w:t xml:space="preserve">NOTICE OF EXEMPT SOLICITATION </w:t>
      </w:r>
    </w:p>
    <w:p w14:paraId="30545800" w14:textId="77777777" w:rsidR="00EC253E" w:rsidRPr="00DA36E6" w:rsidRDefault="00EC253E" w:rsidP="00FF74AC">
      <w:pPr>
        <w:rPr>
          <w:rFonts w:ascii="Tw Cen MT" w:hAnsi="Tw Cen MT"/>
        </w:rPr>
      </w:pPr>
      <w:r w:rsidRPr="00DA36E6">
        <w:rPr>
          <w:rFonts w:ascii="Tw Cen MT" w:hAnsi="Tw Cen MT"/>
        </w:rPr>
        <w:t>Pursuant to Rule 14a-103</w:t>
      </w:r>
    </w:p>
    <w:p w14:paraId="2EC0C52D" w14:textId="77777777" w:rsidR="00EC253E" w:rsidRPr="00DA36E6" w:rsidRDefault="00EC253E" w:rsidP="00FF74AC">
      <w:pPr>
        <w:rPr>
          <w:rFonts w:ascii="Tw Cen MT" w:hAnsi="Tw Cen MT"/>
        </w:rPr>
      </w:pPr>
    </w:p>
    <w:p w14:paraId="34592CA2" w14:textId="6675CE8B" w:rsidR="00EC253E" w:rsidRPr="00DA36E6" w:rsidRDefault="00EC253E" w:rsidP="00FF74AC">
      <w:pPr>
        <w:rPr>
          <w:rFonts w:ascii="Tw Cen MT" w:hAnsi="Tw Cen MT"/>
        </w:rPr>
      </w:pPr>
      <w:r w:rsidRPr="00DA36E6">
        <w:rPr>
          <w:rFonts w:ascii="Tw Cen MT" w:hAnsi="Tw Cen MT"/>
        </w:rPr>
        <w:t xml:space="preserve">Name of the Registrant: </w:t>
      </w:r>
      <w:r w:rsidR="00A12CCF" w:rsidRPr="00DA36E6">
        <w:rPr>
          <w:rFonts w:ascii="Tw Cen MT" w:hAnsi="Tw Cen MT"/>
        </w:rPr>
        <w:t>McDonald’s Corporation</w:t>
      </w:r>
    </w:p>
    <w:p w14:paraId="5C122229" w14:textId="4C940D2C" w:rsidR="00EC253E" w:rsidRPr="00DA36E6" w:rsidRDefault="00EC253E" w:rsidP="00FF74AC">
      <w:pPr>
        <w:rPr>
          <w:rFonts w:ascii="Tw Cen MT" w:hAnsi="Tw Cen MT"/>
        </w:rPr>
      </w:pPr>
      <w:r w:rsidRPr="00DA36E6">
        <w:rPr>
          <w:rFonts w:ascii="Tw Cen MT" w:hAnsi="Tw Cen MT"/>
        </w:rPr>
        <w:t xml:space="preserve">Name of persons relying on exemption: </w:t>
      </w:r>
      <w:r w:rsidR="00962A71" w:rsidRPr="00DA36E6">
        <w:rPr>
          <w:rFonts w:ascii="Tw Cen MT" w:hAnsi="Tw Cen MT"/>
        </w:rPr>
        <w:t>The Shareholder Commons</w:t>
      </w:r>
      <w:r w:rsidR="00927EDF" w:rsidRPr="00DA36E6">
        <w:rPr>
          <w:rFonts w:ascii="Tw Cen MT" w:hAnsi="Tw Cen MT"/>
        </w:rPr>
        <w:t>, Inc.</w:t>
      </w:r>
    </w:p>
    <w:p w14:paraId="5F50F764" w14:textId="77777777" w:rsidR="003008BD" w:rsidRPr="00DA36E6" w:rsidRDefault="003008BD" w:rsidP="003008BD">
      <w:pPr>
        <w:rPr>
          <w:rFonts w:ascii="TwCenMT-Regular" w:hAnsi="TwCenMT-Regular" w:cs="TwCenMT-Regular"/>
          <w:szCs w:val="24"/>
        </w:rPr>
      </w:pPr>
      <w:r w:rsidRPr="00DA36E6">
        <w:rPr>
          <w:rFonts w:ascii="TwCenMT-Regular" w:hAnsi="TwCenMT-Regular" w:cs="TwCenMT-Regular"/>
          <w:szCs w:val="24"/>
        </w:rPr>
        <w:t>Address of persons relying on exemption: PO Box 1268, Northampton, Massachusetts 01061</w:t>
      </w:r>
    </w:p>
    <w:p w14:paraId="4EAC8E0E" w14:textId="77777777" w:rsidR="00C13E9F" w:rsidRPr="00DA36E6" w:rsidRDefault="00C13E9F" w:rsidP="00FF74AC">
      <w:pPr>
        <w:rPr>
          <w:rFonts w:ascii="Tw Cen MT" w:hAnsi="Tw Cen MT"/>
        </w:rPr>
      </w:pPr>
    </w:p>
    <w:bookmarkEnd w:id="0"/>
    <w:bookmarkEnd w:id="1"/>
    <w:p w14:paraId="2C54BEA6" w14:textId="77777777" w:rsidR="00173A06" w:rsidRPr="00EC29CE" w:rsidRDefault="00173A06" w:rsidP="00173A06">
      <w:pPr>
        <w:rPr>
          <w:rFonts w:ascii="Tw Cen MT" w:hAnsi="Tw Cen MT"/>
        </w:rPr>
      </w:pPr>
      <w:r w:rsidRPr="79220896">
        <w:rPr>
          <w:rFonts w:ascii="Tw Cen MT" w:hAnsi="Tw Cen MT"/>
        </w:rPr>
        <w:t xml:space="preserve">Written materials are submitted pursuant to Rule 14a-6(g) (1) promulgated under the Securities Exchange Act of 1934. Submission is not required of this filer under the terms of the Rule, as the filer does not own any securities of the </w:t>
      </w:r>
      <w:proofErr w:type="gramStart"/>
      <w:r w:rsidRPr="79220896">
        <w:rPr>
          <w:rFonts w:ascii="Tw Cen MT" w:hAnsi="Tw Cen MT"/>
        </w:rPr>
        <w:t>registrant, but</w:t>
      </w:r>
      <w:proofErr w:type="gramEnd"/>
      <w:r w:rsidRPr="79220896">
        <w:rPr>
          <w:rFonts w:ascii="Tw Cen MT" w:hAnsi="Tw Cen MT"/>
        </w:rPr>
        <w:t xml:space="preserve"> is made voluntarily. </w:t>
      </w:r>
    </w:p>
    <w:p w14:paraId="40CA0863" w14:textId="77777777" w:rsidR="00575629" w:rsidRPr="00DA36E6" w:rsidRDefault="00575629" w:rsidP="00FF74AC"/>
    <w:p w14:paraId="67CA0640" w14:textId="24D2CC9C" w:rsidR="002C6891" w:rsidRDefault="00D86822" w:rsidP="00565A31">
      <w:pPr>
        <w:jc w:val="center"/>
        <w:rPr>
          <w:rFonts w:cs="Times New Roman (Headings CS)"/>
          <w:b/>
          <w:bCs/>
          <w:caps/>
          <w:u w:val="single"/>
        </w:rPr>
      </w:pPr>
      <w:r w:rsidRPr="00DA36E6">
        <w:rPr>
          <w:rFonts w:cs="Times New Roman (Headings CS)"/>
          <w:b/>
          <w:bCs/>
          <w:caps/>
          <w:u w:val="single"/>
        </w:rPr>
        <w:t xml:space="preserve">Balancing </w:t>
      </w:r>
      <w:r w:rsidR="004A3545" w:rsidRPr="00DA36E6">
        <w:rPr>
          <w:rFonts w:cs="Times New Roman (Headings CS)"/>
          <w:b/>
          <w:bCs/>
          <w:caps/>
          <w:u w:val="single"/>
        </w:rPr>
        <w:t>Public Health</w:t>
      </w:r>
      <w:r w:rsidRPr="00DA36E6">
        <w:rPr>
          <w:rFonts w:cs="Times New Roman (Headings CS)"/>
          <w:b/>
          <w:bCs/>
          <w:caps/>
          <w:u w:val="single"/>
        </w:rPr>
        <w:t xml:space="preserve"> and </w:t>
      </w:r>
      <w:r w:rsidR="0091502F">
        <w:rPr>
          <w:rFonts w:cs="Times New Roman (Headings CS)"/>
          <w:b/>
          <w:bCs/>
          <w:caps/>
          <w:u w:val="single"/>
        </w:rPr>
        <w:t xml:space="preserve">COMPANY </w:t>
      </w:r>
      <w:r w:rsidRPr="00DA36E6">
        <w:rPr>
          <w:rFonts w:cs="Times New Roman (Headings CS)"/>
          <w:b/>
          <w:bCs/>
          <w:caps/>
          <w:u w:val="single"/>
        </w:rPr>
        <w:t>Financial Returns</w:t>
      </w:r>
    </w:p>
    <w:p w14:paraId="3FDA2641" w14:textId="68324BF5" w:rsidR="00543647" w:rsidRPr="00543647" w:rsidRDefault="00543647" w:rsidP="00565A31">
      <w:pPr>
        <w:jc w:val="center"/>
        <w:rPr>
          <w:rFonts w:cs="Times New Roman (Headings CS)"/>
          <w:b/>
          <w:bCs/>
          <w:caps/>
          <w:smallCaps/>
        </w:rPr>
      </w:pPr>
      <w:r>
        <w:rPr>
          <w:rFonts w:cs="Times New Roman (Headings CS)"/>
          <w:b/>
          <w:bCs/>
          <w:caps/>
        </w:rPr>
        <w:t xml:space="preserve">WE URGE SHAREHOLDERS TO VOTE “AGAINST” </w:t>
      </w:r>
      <w:r w:rsidR="00432ED0" w:rsidRPr="00432ED0">
        <w:rPr>
          <w:rFonts w:cs="Times New Roman (Headings CS)"/>
          <w:b/>
          <w:bCs/>
          <w:caps/>
        </w:rPr>
        <w:t>Chris Kempczinski</w:t>
      </w:r>
      <w:r>
        <w:rPr>
          <w:rFonts w:cs="Times New Roman (Headings CS)"/>
          <w:b/>
          <w:bCs/>
          <w:caps/>
        </w:rPr>
        <w:t xml:space="preserve">, BOARD CHAIR (ITEM </w:t>
      </w:r>
      <w:r w:rsidR="00B37CEC">
        <w:rPr>
          <w:rFonts w:cs="Times New Roman (Headings CS)"/>
          <w:b/>
          <w:bCs/>
          <w:caps/>
        </w:rPr>
        <w:t>1g</w:t>
      </w:r>
      <w:r>
        <w:rPr>
          <w:rFonts w:cs="Times New Roman (Headings CS)"/>
          <w:b/>
          <w:bCs/>
          <w:caps/>
        </w:rPr>
        <w:t>)</w:t>
      </w:r>
    </w:p>
    <w:p w14:paraId="441E2D42" w14:textId="632E60E7" w:rsidR="002C6891" w:rsidRPr="00DA36E6" w:rsidRDefault="3D16723B" w:rsidP="1C52C600">
      <w:r w:rsidRPr="00DA36E6">
        <w:t>T</w:t>
      </w:r>
      <w:r w:rsidR="0A7A45DC" w:rsidRPr="00DA36E6">
        <w:t xml:space="preserve">he </w:t>
      </w:r>
      <w:r w:rsidR="380CBAAA" w:rsidRPr="00DA36E6">
        <w:t>Shareholder Commons</w:t>
      </w:r>
      <w:r w:rsidR="6BB99662" w:rsidRPr="00DA36E6">
        <w:t xml:space="preserve"> </w:t>
      </w:r>
      <w:r w:rsidR="00460DC7" w:rsidRPr="00DA36E6">
        <w:t xml:space="preserve">(“TSC”) </w:t>
      </w:r>
      <w:r w:rsidR="6BB99662" w:rsidRPr="00DA36E6">
        <w:t>urge</w:t>
      </w:r>
      <w:r w:rsidR="1132395D" w:rsidRPr="00DA36E6">
        <w:t>s</w:t>
      </w:r>
      <w:r w:rsidR="3EFD066A" w:rsidRPr="00DA36E6">
        <w:t xml:space="preserve"> </w:t>
      </w:r>
      <w:r w:rsidR="6BB99662" w:rsidRPr="00DA36E6">
        <w:t xml:space="preserve">you to vote </w:t>
      </w:r>
      <w:r w:rsidR="772B0E28" w:rsidRPr="00DA36E6">
        <w:rPr>
          <w:b/>
          <w:bCs/>
        </w:rPr>
        <w:t>“</w:t>
      </w:r>
      <w:r w:rsidR="00AD76DC">
        <w:rPr>
          <w:b/>
          <w:bCs/>
        </w:rPr>
        <w:t>AGAINST</w:t>
      </w:r>
      <w:r w:rsidR="68EE7630" w:rsidRPr="00DA36E6">
        <w:rPr>
          <w:b/>
          <w:bCs/>
        </w:rPr>
        <w:t>”</w:t>
      </w:r>
      <w:r w:rsidR="6BB99662" w:rsidRPr="00DA36E6">
        <w:t xml:space="preserve"> </w:t>
      </w:r>
      <w:r w:rsidR="00EC6EB2">
        <w:t xml:space="preserve">Board Chair </w:t>
      </w:r>
      <w:r w:rsidR="00AD76DC" w:rsidRPr="00AD76DC">
        <w:t xml:space="preserve">Chris </w:t>
      </w:r>
      <w:proofErr w:type="spellStart"/>
      <w:r w:rsidR="00AD76DC" w:rsidRPr="00AD76DC">
        <w:t>Kempczinski</w:t>
      </w:r>
      <w:proofErr w:type="spellEnd"/>
      <w:r w:rsidR="00AD76DC" w:rsidRPr="00AD76DC">
        <w:t xml:space="preserve"> </w:t>
      </w:r>
      <w:r w:rsidR="12BB19E5" w:rsidRPr="00DA36E6">
        <w:t>(</w:t>
      </w:r>
      <w:r w:rsidR="00287562">
        <w:t>Item 1g on the proxy</w:t>
      </w:r>
      <w:r w:rsidR="12BB19E5" w:rsidRPr="00DA36E6">
        <w:t>)</w:t>
      </w:r>
      <w:r w:rsidR="6BB99662" w:rsidRPr="00DA36E6">
        <w:t xml:space="preserve">, </w:t>
      </w:r>
      <w:r w:rsidR="00811952">
        <w:t>due to the failure of</w:t>
      </w:r>
      <w:r w:rsidR="5B9B7A4E" w:rsidRPr="00DA36E6">
        <w:t xml:space="preserve"> </w:t>
      </w:r>
      <w:r w:rsidR="0D63460C" w:rsidRPr="00DA36E6">
        <w:t>McDonald’s Corporation</w:t>
      </w:r>
      <w:r w:rsidR="63027C71" w:rsidRPr="00DA36E6">
        <w:t xml:space="preserve"> (</w:t>
      </w:r>
      <w:proofErr w:type="gramStart"/>
      <w:r w:rsidR="63027C71" w:rsidRPr="00DA36E6">
        <w:t>“</w:t>
      </w:r>
      <w:r w:rsidR="0D63460C" w:rsidRPr="00DA36E6">
        <w:t>McDonald’s</w:t>
      </w:r>
      <w:r w:rsidR="63027C71" w:rsidRPr="00DA36E6">
        <w:t>”</w:t>
      </w:r>
      <w:proofErr w:type="gramEnd"/>
      <w:r w:rsidR="63027C71" w:rsidRPr="00DA36E6">
        <w:t xml:space="preserve"> or the “Company”) </w:t>
      </w:r>
      <w:r w:rsidR="00811952">
        <w:t>to comply with World Health Organization guidelines designed to reduce antimicrobial resistance</w:t>
      </w:r>
      <w:r w:rsidR="4B6428C5" w:rsidRPr="00DA36E6">
        <w:t>.</w:t>
      </w:r>
    </w:p>
    <w:p w14:paraId="6999C80A" w14:textId="1213E66B" w:rsidR="00AE3C5D" w:rsidRPr="00DA36E6" w:rsidRDefault="00AE3C5D" w:rsidP="00AE3C5D">
      <w:r w:rsidRPr="00DA36E6">
        <w:t xml:space="preserve">TSC is a non-profit organization that addresses social and environmental issues from the perspective of shareholders who diversify their investments to optimize risk and return. </w:t>
      </w:r>
      <w:r w:rsidR="00530D8F">
        <w:t>More specifically, TSC addresses the interests of diversified shareholders in optimizing overall market returns.</w:t>
      </w:r>
    </w:p>
    <w:p w14:paraId="4B9C09F0" w14:textId="51C99D42" w:rsidR="00AE3C5D" w:rsidRPr="00DA36E6" w:rsidRDefault="6A28B8F8" w:rsidP="00AE3C5D">
      <w:r w:rsidRPr="00DA36E6">
        <w:t xml:space="preserve">We support </w:t>
      </w:r>
      <w:r w:rsidR="002549D7">
        <w:t xml:space="preserve">a vote AGAINST </w:t>
      </w:r>
      <w:r w:rsidR="002549D7" w:rsidRPr="00AD76DC">
        <w:t xml:space="preserve">Chris </w:t>
      </w:r>
      <w:proofErr w:type="spellStart"/>
      <w:r w:rsidR="002549D7" w:rsidRPr="00AD76DC">
        <w:t>Kempczinski</w:t>
      </w:r>
      <w:proofErr w:type="spellEnd"/>
      <w:r w:rsidRPr="00DA36E6">
        <w:t xml:space="preserve"> </w:t>
      </w:r>
      <w:r w:rsidR="005D649F" w:rsidRPr="00DA36E6">
        <w:t xml:space="preserve">because the Company’s current standards for antibiotic use do not adequately account for the risks antibiotics in its supply chains pose to public health </w:t>
      </w:r>
      <w:r w:rsidR="00D60FCC" w:rsidRPr="00DA36E6">
        <w:t xml:space="preserve">and </w:t>
      </w:r>
      <w:r w:rsidR="005D649F" w:rsidRPr="00DA36E6">
        <w:t>the resulting costs to its diversified shareholders</w:t>
      </w:r>
      <w:r w:rsidRPr="00DA36E6">
        <w:t>.</w:t>
      </w:r>
    </w:p>
    <w:p w14:paraId="7878EE52" w14:textId="6D2509CC" w:rsidR="009E065B" w:rsidRDefault="00FD214F" w:rsidP="004A1209">
      <w:r>
        <w:t>Antimicrobial resistance</w:t>
      </w:r>
      <w:r w:rsidR="00610C5C">
        <w:t xml:space="preserve"> (AMR)</w:t>
      </w:r>
      <w:r>
        <w:t xml:space="preserve"> is poised to cost the global economy $100 trillion by 2050</w:t>
      </w:r>
      <w:r w:rsidR="00610C5C">
        <w:t xml:space="preserve">. Overuse of antibiotics in meat supply chains can thus materially reduce the intrinsic value of the global economy, </w:t>
      </w:r>
      <w:r w:rsidR="00741BEC">
        <w:t xml:space="preserve">which in turn harms investment portfolios, as we explain further in Section </w:t>
      </w:r>
      <w:r w:rsidR="007A3892">
        <w:t>B</w:t>
      </w:r>
      <w:r w:rsidR="00741BEC">
        <w:t xml:space="preserve">. </w:t>
      </w:r>
      <w:r w:rsidR="0001171A" w:rsidRPr="00DA36E6">
        <w:t xml:space="preserve">McDonald’s is the single </w:t>
      </w:r>
      <w:r w:rsidR="0001171A" w:rsidRPr="00DA36E6">
        <w:lastRenderedPageBreak/>
        <w:t>largest beef purchaser in the United States and one of the largest in the world</w:t>
      </w:r>
      <w:r w:rsidR="00DA6C23" w:rsidRPr="00DA36E6">
        <w:t xml:space="preserve"> and a major buyer of pork</w:t>
      </w:r>
      <w:r w:rsidR="0001171A" w:rsidRPr="00DA36E6">
        <w:t xml:space="preserve">; its policies thus have tremendous influence on the market as a whole. </w:t>
      </w:r>
      <w:r w:rsidR="00E368D1">
        <w:t xml:space="preserve">McDonald’s fails to comply with </w:t>
      </w:r>
      <w:r w:rsidR="00463A7E">
        <w:t xml:space="preserve">World Health Organization (WHO) guidelines on antimicrobials use in food-producing animals, </w:t>
      </w:r>
      <w:r w:rsidR="00926579">
        <w:t>contrary to its ow</w:t>
      </w:r>
      <w:r w:rsidR="007A3892">
        <w:t>n</w:t>
      </w:r>
      <w:r w:rsidR="00926579">
        <w:t xml:space="preserve"> diversified shareholders’ interests. A vote against Board Chair Chris </w:t>
      </w:r>
      <w:proofErr w:type="spellStart"/>
      <w:r w:rsidR="00926579">
        <w:t>Kempczin</w:t>
      </w:r>
      <w:r w:rsidR="009E065B">
        <w:t>ski</w:t>
      </w:r>
      <w:proofErr w:type="spellEnd"/>
      <w:r w:rsidR="009E065B">
        <w:t xml:space="preserve"> is thus warranted. </w:t>
      </w:r>
    </w:p>
    <w:p w14:paraId="51CCB7E6" w14:textId="2952E305" w:rsidR="004A1209" w:rsidRPr="00DA36E6" w:rsidRDefault="00FE0928" w:rsidP="00FE0928">
      <w:pPr>
        <w:ind w:right="720"/>
        <w:rPr>
          <w:bCs/>
          <w:i/>
        </w:rPr>
      </w:pPr>
      <w:r>
        <w:t xml:space="preserve">Investors have been asking McDonald’s for many years to improve its </w:t>
      </w:r>
      <w:r w:rsidR="00032FCC">
        <w:t xml:space="preserve">AMR stewardship practices. </w:t>
      </w:r>
      <w:r w:rsidR="00164B9D">
        <w:t xml:space="preserve">TSC filed shareholder proposals at McDonald’s </w:t>
      </w:r>
      <w:r w:rsidR="00881B14">
        <w:t xml:space="preserve">in 2024 and 2023 asking the Company to comply with </w:t>
      </w:r>
      <w:r w:rsidR="008A0E5F" w:rsidRPr="008A0E5F">
        <w:rPr>
          <w:iCs/>
        </w:rPr>
        <w:t>WHO Guidelines on Use of Medically Important Antimicrobials in Food-Producing Animals (“WHO Guidelines”)</w:t>
      </w:r>
      <w:r w:rsidR="008A0E5F" w:rsidRPr="008A0E5F">
        <w:rPr>
          <w:iCs/>
          <w:vertAlign w:val="superscript"/>
        </w:rPr>
        <w:footnoteReference w:id="2"/>
      </w:r>
      <w:r w:rsidR="008A0E5F" w:rsidRPr="008A0E5F">
        <w:rPr>
          <w:iCs/>
          <w:vertAlign w:val="superscript"/>
        </w:rPr>
        <w:t> </w:t>
      </w:r>
      <w:r w:rsidR="008A0E5F" w:rsidRPr="008A0E5F">
        <w:rPr>
          <w:iCs/>
        </w:rPr>
        <w:t xml:space="preserve">throughout </w:t>
      </w:r>
      <w:r w:rsidR="00C87764">
        <w:rPr>
          <w:iCs/>
        </w:rPr>
        <w:t>its</w:t>
      </w:r>
      <w:r w:rsidR="008A0E5F" w:rsidRPr="008A0E5F">
        <w:rPr>
          <w:iCs/>
        </w:rPr>
        <w:t xml:space="preserve"> supply </w:t>
      </w:r>
      <w:proofErr w:type="gramStart"/>
      <w:r w:rsidR="008A0E5F" w:rsidRPr="008A0E5F">
        <w:rPr>
          <w:iCs/>
        </w:rPr>
        <w:t>chains</w:t>
      </w:r>
      <w:r w:rsidR="00C9095F">
        <w:rPr>
          <w:bCs/>
          <w:iCs/>
        </w:rPr>
        <w:t>, and</w:t>
      </w:r>
      <w:proofErr w:type="gramEnd"/>
      <w:r w:rsidR="00C9095F">
        <w:rPr>
          <w:bCs/>
          <w:iCs/>
        </w:rPr>
        <w:t xml:space="preserve"> filed a proposal in 2021 requesting disclosure </w:t>
      </w:r>
      <w:r w:rsidR="0089258A">
        <w:rPr>
          <w:bCs/>
          <w:iCs/>
        </w:rPr>
        <w:t xml:space="preserve">on its AMR practices. </w:t>
      </w:r>
      <w:r w:rsidR="002F08EF">
        <w:rPr>
          <w:bCs/>
          <w:iCs/>
        </w:rPr>
        <w:t>Other shareholders have filed similar proposals</w:t>
      </w:r>
      <w:r w:rsidR="003D19B1">
        <w:rPr>
          <w:bCs/>
          <w:iCs/>
        </w:rPr>
        <w:t xml:space="preserve"> requesting improved AMR prevention practices.</w:t>
      </w:r>
    </w:p>
    <w:p w14:paraId="72D0B5A1" w14:textId="71E1435E" w:rsidR="00DA2697" w:rsidRPr="00DA36E6" w:rsidRDefault="00DA2697" w:rsidP="00DA2697">
      <w:r>
        <w:t>McDonald’s oppos</w:t>
      </w:r>
      <w:r w:rsidR="3A8A5EC5">
        <w:t>ition</w:t>
      </w:r>
      <w:r>
        <w:t xml:space="preserve"> </w:t>
      </w:r>
      <w:r w:rsidR="3AEB3BEF">
        <w:t xml:space="preserve">to </w:t>
      </w:r>
      <w:r>
        <w:t xml:space="preserve">the </w:t>
      </w:r>
      <w:r w:rsidR="00A0287E">
        <w:t xml:space="preserve">2024 AMR </w:t>
      </w:r>
      <w:r>
        <w:t xml:space="preserve">proposal </w:t>
      </w:r>
      <w:r w:rsidR="0CE19705">
        <w:t>missed the mark on multiple</w:t>
      </w:r>
      <w:r>
        <w:t xml:space="preserve"> grounds:</w:t>
      </w:r>
    </w:p>
    <w:p w14:paraId="5EAF15C7" w14:textId="3ECB6853" w:rsidR="00DA2697" w:rsidRPr="00DA36E6" w:rsidRDefault="004909F8" w:rsidP="000D7154">
      <w:pPr>
        <w:pStyle w:val="ListParagraph"/>
        <w:numPr>
          <w:ilvl w:val="0"/>
          <w:numId w:val="4"/>
        </w:numPr>
      </w:pPr>
      <w:r w:rsidRPr="09A066E1">
        <w:rPr>
          <w:i/>
          <w:iCs/>
        </w:rPr>
        <w:t xml:space="preserve">McDonald’s </w:t>
      </w:r>
      <w:r w:rsidR="00A0287E" w:rsidRPr="09A066E1">
        <w:rPr>
          <w:i/>
          <w:iCs/>
        </w:rPr>
        <w:t>said</w:t>
      </w:r>
      <w:r w:rsidRPr="09A066E1">
        <w:rPr>
          <w:i/>
          <w:iCs/>
        </w:rPr>
        <w:t xml:space="preserve"> the </w:t>
      </w:r>
      <w:r w:rsidR="00986455" w:rsidRPr="09A066E1">
        <w:rPr>
          <w:i/>
          <w:iCs/>
        </w:rPr>
        <w:t>P</w:t>
      </w:r>
      <w:r w:rsidRPr="09A066E1">
        <w:rPr>
          <w:i/>
          <w:iCs/>
        </w:rPr>
        <w:t xml:space="preserve">roposal </w:t>
      </w:r>
      <w:r w:rsidR="00A0287E" w:rsidRPr="09A066E1">
        <w:rPr>
          <w:i/>
          <w:iCs/>
        </w:rPr>
        <w:t>wa</w:t>
      </w:r>
      <w:r w:rsidRPr="09A066E1">
        <w:rPr>
          <w:i/>
          <w:iCs/>
        </w:rPr>
        <w:t>s “unnecessary</w:t>
      </w:r>
      <w:r w:rsidR="4B9F0A93" w:rsidRPr="09A066E1">
        <w:rPr>
          <w:i/>
          <w:iCs/>
        </w:rPr>
        <w:t>,</w:t>
      </w:r>
      <w:r w:rsidRPr="09A066E1">
        <w:rPr>
          <w:i/>
          <w:iCs/>
        </w:rPr>
        <w:t>”</w:t>
      </w:r>
      <w:r>
        <w:t xml:space="preserve"> </w:t>
      </w:r>
      <w:r w:rsidR="171E89DE">
        <w:t>but a</w:t>
      </w:r>
      <w:r w:rsidR="009E1906">
        <w:t xml:space="preserve">ntimicrobial resistance (“AMR”) is increasing at an alarming clip, creating expanding economic </w:t>
      </w:r>
      <w:r w:rsidR="001373A3">
        <w:t xml:space="preserve">damage </w:t>
      </w:r>
      <w:r w:rsidR="009E1906">
        <w:t>and</w:t>
      </w:r>
      <w:r w:rsidR="001373A3">
        <w:t xml:space="preserve"> consequent threat</w:t>
      </w:r>
      <w:r w:rsidR="00414744">
        <w:t xml:space="preserve"> to</w:t>
      </w:r>
      <w:r w:rsidR="009E1906">
        <w:t xml:space="preserve"> </w:t>
      </w:r>
      <w:r w:rsidR="00414744">
        <w:t xml:space="preserve">the value of </w:t>
      </w:r>
      <w:r w:rsidR="009E1906">
        <w:t>diversified portfolio</w:t>
      </w:r>
      <w:r w:rsidR="00414744">
        <w:t>s</w:t>
      </w:r>
      <w:r w:rsidR="009E1906">
        <w:t xml:space="preserve">, and the Company’s policies </w:t>
      </w:r>
      <w:r w:rsidR="00701C1D">
        <w:t xml:space="preserve">and performance </w:t>
      </w:r>
      <w:r w:rsidR="000040B8">
        <w:t xml:space="preserve">still </w:t>
      </w:r>
      <w:r w:rsidR="00D977E5">
        <w:t>do not sufficiently</w:t>
      </w:r>
      <w:r w:rsidR="00701C1D">
        <w:t xml:space="preserve"> mitigate the risk to its diversified shareholders.</w:t>
      </w:r>
    </w:p>
    <w:p w14:paraId="654296F4" w14:textId="365288B8" w:rsidR="00304CEF" w:rsidRPr="00DA36E6" w:rsidRDefault="00304CEF" w:rsidP="000D7154">
      <w:pPr>
        <w:pStyle w:val="ListParagraph"/>
        <w:numPr>
          <w:ilvl w:val="0"/>
          <w:numId w:val="4"/>
        </w:numPr>
      </w:pPr>
      <w:r w:rsidRPr="09A066E1">
        <w:rPr>
          <w:i/>
          <w:iCs/>
        </w:rPr>
        <w:t xml:space="preserve">McDonald’s </w:t>
      </w:r>
      <w:r w:rsidR="001B7CC0" w:rsidRPr="09A066E1">
        <w:rPr>
          <w:i/>
          <w:iCs/>
        </w:rPr>
        <w:t>said</w:t>
      </w:r>
      <w:r w:rsidRPr="09A066E1">
        <w:rPr>
          <w:i/>
          <w:iCs/>
        </w:rPr>
        <w:t xml:space="preserve"> the </w:t>
      </w:r>
      <w:r w:rsidR="00986455" w:rsidRPr="09A066E1">
        <w:rPr>
          <w:i/>
          <w:iCs/>
        </w:rPr>
        <w:t>P</w:t>
      </w:r>
      <w:r w:rsidRPr="09A066E1">
        <w:rPr>
          <w:i/>
          <w:iCs/>
        </w:rPr>
        <w:t xml:space="preserve">roposal </w:t>
      </w:r>
      <w:r w:rsidR="001B7CC0" w:rsidRPr="09A066E1">
        <w:rPr>
          <w:i/>
          <w:iCs/>
        </w:rPr>
        <w:t>wa</w:t>
      </w:r>
      <w:r w:rsidRPr="09A066E1">
        <w:rPr>
          <w:i/>
          <w:iCs/>
        </w:rPr>
        <w:t>s “duplicative”</w:t>
      </w:r>
      <w:r w:rsidR="00263A3D">
        <w:t xml:space="preserve"> of its </w:t>
      </w:r>
      <w:r w:rsidR="0061405B">
        <w:t>policies.</w:t>
      </w:r>
      <w:r>
        <w:t xml:space="preserve"> This </w:t>
      </w:r>
      <w:r w:rsidR="001B7CC0">
        <w:t>wa</w:t>
      </w:r>
      <w:r>
        <w:t>s</w:t>
      </w:r>
      <w:r w:rsidR="7A15DDC4">
        <w:t>n</w:t>
      </w:r>
      <w:r w:rsidR="0059596D">
        <w:t>’</w:t>
      </w:r>
      <w:r w:rsidR="7A15DDC4">
        <w:t>t true</w:t>
      </w:r>
      <w:r>
        <w:t>. The Company</w:t>
      </w:r>
      <w:r w:rsidR="0049483D">
        <w:t>’s existing policies</w:t>
      </w:r>
      <w:r>
        <w:t xml:space="preserve"> </w:t>
      </w:r>
      <w:r w:rsidR="006F6838">
        <w:t xml:space="preserve">fall well short of </w:t>
      </w:r>
      <w:r w:rsidR="001B7CC0">
        <w:t>the WHO Guidelines</w:t>
      </w:r>
      <w:r w:rsidR="00986455">
        <w:t>.</w:t>
      </w:r>
      <w:r w:rsidR="00A432EC">
        <w:t xml:space="preserve"> </w:t>
      </w:r>
      <w:r>
        <w:t>Further, the Company has a history of failure to deliver on its own commitments.</w:t>
      </w:r>
    </w:p>
    <w:p w14:paraId="06C6B0E3" w14:textId="50BFA7C3" w:rsidR="00986455" w:rsidRDefault="4D3F5884" w:rsidP="000D7154">
      <w:pPr>
        <w:pStyle w:val="ListParagraph"/>
        <w:numPr>
          <w:ilvl w:val="0"/>
          <w:numId w:val="4"/>
        </w:numPr>
      </w:pPr>
      <w:r w:rsidRPr="09A066E1">
        <w:rPr>
          <w:i/>
          <w:iCs/>
        </w:rPr>
        <w:t xml:space="preserve">McDonald’s </w:t>
      </w:r>
      <w:r w:rsidR="0061405B" w:rsidRPr="09A066E1">
        <w:rPr>
          <w:i/>
          <w:iCs/>
        </w:rPr>
        <w:t>said</w:t>
      </w:r>
      <w:r w:rsidRPr="09A066E1">
        <w:rPr>
          <w:i/>
          <w:iCs/>
        </w:rPr>
        <w:t xml:space="preserve"> the Proposal “would not provide meaningful benefit to shareholders.”</w:t>
      </w:r>
      <w:r>
        <w:t xml:space="preserve"> This </w:t>
      </w:r>
      <w:r w:rsidR="5E6F975F">
        <w:t xml:space="preserve">ignored the reality that </w:t>
      </w:r>
      <w:proofErr w:type="gramStart"/>
      <w:r w:rsidR="5E6F975F">
        <w:t>t</w:t>
      </w:r>
      <w:r>
        <w:t>he vast majority of</w:t>
      </w:r>
      <w:proofErr w:type="gramEnd"/>
      <w:r>
        <w:t xml:space="preserve"> </w:t>
      </w:r>
      <w:r w:rsidR="19660700">
        <w:t xml:space="preserve">investors are everyday savers such as Texas teachers, Detroit fire fighters, </w:t>
      </w:r>
      <w:r w:rsidR="4E788051">
        <w:t xml:space="preserve">and other working people who count on their </w:t>
      </w:r>
      <w:r w:rsidR="000E185E">
        <w:t>savings and pensions for a dignified retirement</w:t>
      </w:r>
      <w:r w:rsidR="1834F090">
        <w:t xml:space="preserve">. For them, the single greatest determinant of portfolio value is broad economic health, and AMR </w:t>
      </w:r>
      <w:r w:rsidR="4D448E06">
        <w:t>is poised to cost the economy $100 trillion by 2050.</w:t>
      </w:r>
    </w:p>
    <w:p w14:paraId="3D90B785" w14:textId="0A0D4689" w:rsidR="00BC0B10" w:rsidRPr="00DA36E6" w:rsidRDefault="00BC0B10" w:rsidP="00BC0B10">
      <w:r>
        <w:t xml:space="preserve">Given McDonald’s history of failure to address </w:t>
      </w:r>
      <w:r w:rsidR="006C3AC0">
        <w:t>its contribution to AMR and to meet its own commitments on the topic, a vote against its board chair is in investors’ best interest.</w:t>
      </w:r>
    </w:p>
    <w:p w14:paraId="35B7CD85" w14:textId="56A0408C" w:rsidR="004A1209" w:rsidRPr="00DA36E6" w:rsidRDefault="004A1209" w:rsidP="004A1209">
      <w:pPr>
        <w:pStyle w:val="Heading1"/>
      </w:pPr>
      <w:r w:rsidRPr="00DA36E6">
        <w:t xml:space="preserve">Overuse of Antibiotics in Animal Husbandry Creates </w:t>
      </w:r>
      <w:r w:rsidR="009E1906" w:rsidRPr="00DA36E6">
        <w:t>AMR</w:t>
      </w:r>
      <w:r w:rsidRPr="00DA36E6">
        <w:t>, a Grave Threat to Human Life, Economic Prosperity, and Diversified Portfolios</w:t>
      </w:r>
    </w:p>
    <w:p w14:paraId="67542E6C" w14:textId="6148425F" w:rsidR="004A1209" w:rsidRPr="00DA36E6" w:rsidRDefault="1C549A2D" w:rsidP="004A1209">
      <w:r w:rsidRPr="00DA36E6">
        <w:t xml:space="preserve">AMR occurs when microbes (i.e., bacteria, parasites, viruses, and fungi) change over time and no longer respond to medicines such as antibiotics, causing standard disease treatments to become ineffective. This, in turn, increases the risk of disease spread, severe illness, and death. The process occurs naturally, but misuse of antimicrobials in animals and humans is accelerating it. </w:t>
      </w:r>
      <w:bookmarkStart w:id="2" w:name="_Toc474222828"/>
      <w:r w:rsidRPr="00DA36E6">
        <w:t>Without urgent action, we are heading for a post-antibiotic era in which common infections and minor injuries can once again kill.</w:t>
      </w:r>
      <w:bookmarkEnd w:id="2"/>
      <w:r w:rsidRPr="00DA36E6">
        <w:t xml:space="preserve"> As AMR experts recently warned, “virtually no aspect of modern medicine is possible without access to antimicrobials that work.”</w:t>
      </w:r>
      <w:r w:rsidR="004A1209" w:rsidRPr="00DA36E6">
        <w:rPr>
          <w:vertAlign w:val="superscript"/>
        </w:rPr>
        <w:footnoteReference w:id="3"/>
      </w:r>
    </w:p>
    <w:p w14:paraId="2385CD89" w14:textId="36055488" w:rsidR="004A1209" w:rsidRPr="00DA36E6" w:rsidRDefault="00231721" w:rsidP="004A1209">
      <w:r>
        <w:lastRenderedPageBreak/>
        <w:t>O</w:t>
      </w:r>
      <w:r w:rsidR="004A1209" w:rsidRPr="00DA36E6">
        <w:t>ver-crowding, poor ventilation, unnatural feed, and animals’ close contact with their own excreta characterize intensive animal farming operations and contribute to greater disease incidence among animals.</w:t>
      </w:r>
      <w:r w:rsidR="00A042A5">
        <w:t xml:space="preserve"> </w:t>
      </w:r>
      <w:r w:rsidR="00A042A5">
        <w:t xml:space="preserve">Routine antibiotics use for both therapeutic and non-therapeutic purposes </w:t>
      </w:r>
      <w:proofErr w:type="gramStart"/>
      <w:r w:rsidR="00A042A5">
        <w:t>has</w:t>
      </w:r>
      <w:proofErr w:type="gramEnd"/>
      <w:r w:rsidR="00A042A5">
        <w:t xml:space="preserve"> enabled livestock operators to mitigate some of the</w:t>
      </w:r>
      <w:r w:rsidR="00A042A5">
        <w:t xml:space="preserve"> grim effects of these practices.</w:t>
      </w:r>
      <w:r w:rsidR="004A1209" w:rsidRPr="00DA36E6">
        <w:t xml:space="preserve"> </w:t>
      </w:r>
      <w:proofErr w:type="gramStart"/>
      <w:r w:rsidR="004A1209" w:rsidRPr="00DA36E6">
        <w:t>A</w:t>
      </w:r>
      <w:proofErr w:type="gramEnd"/>
      <w:r w:rsidR="004A1209" w:rsidRPr="00DA36E6">
        <w:t xml:space="preserve"> growing body of evidence demonstrates that antimicrobial-resistant bacteria arising from intensive animal farming operations are transferring to human populations.</w:t>
      </w:r>
      <w:bookmarkStart w:id="3" w:name="_Ref107506297"/>
      <w:r w:rsidR="004A1209" w:rsidRPr="00DA36E6">
        <w:rPr>
          <w:vertAlign w:val="superscript"/>
        </w:rPr>
        <w:footnoteReference w:id="4"/>
      </w:r>
      <w:bookmarkEnd w:id="3"/>
    </w:p>
    <w:p w14:paraId="7B5C867F" w14:textId="1FF14B86" w:rsidR="00A37DAC" w:rsidRPr="00DA36E6" w:rsidRDefault="00BD07B1" w:rsidP="00A37DAC">
      <w:r>
        <w:t>Combined with poor practices in antimicrobial production and human medicine, t</w:t>
      </w:r>
      <w:r w:rsidRPr="00EC29CE">
        <w:t xml:space="preserve">his </w:t>
      </w:r>
      <w:r>
        <w:t>routine use within animal agriculture</w:t>
      </w:r>
      <w:r w:rsidRPr="00EC29CE">
        <w:t xml:space="preserve"> </w:t>
      </w:r>
      <w:r>
        <w:t>threatens</w:t>
      </w:r>
      <w:r w:rsidRPr="00EC29CE">
        <w:t xml:space="preserve"> public health </w:t>
      </w:r>
      <w:r>
        <w:t xml:space="preserve">and </w:t>
      </w:r>
      <w:r w:rsidRPr="00EC29CE">
        <w:t>is likely to materially reduce the intrinsic value of the global economy, which will in turn affect investment portfolios</w:t>
      </w:r>
      <w:r w:rsidR="00A37DAC" w:rsidRPr="00DA36E6">
        <w:t>. While some models of AMR project GDP loss of 3.8 percent in 30 years, these models are likely to underestimate impacts significantly.</w:t>
      </w:r>
      <w:r w:rsidR="00A37DAC" w:rsidRPr="00DA36E6">
        <w:rPr>
          <w:rStyle w:val="FootnoteReference"/>
        </w:rPr>
        <w:footnoteReference w:id="5"/>
      </w:r>
      <w:r w:rsidR="00A37DAC" w:rsidRPr="00DA36E6">
        <w:t xml:space="preserve"> Some worst-case assessments set AMR costs around $100 trillion by 2050, and those estimates also rely on incomplete data and limited scope.</w:t>
      </w:r>
      <w:r w:rsidR="00A37DAC" w:rsidRPr="00DA36E6">
        <w:rPr>
          <w:rStyle w:val="FootnoteReference"/>
        </w:rPr>
        <w:footnoteReference w:id="6"/>
      </w:r>
      <w:r w:rsidR="00A37DAC" w:rsidRPr="00DA36E6">
        <w:t xml:space="preserve"> Another possible indicator of AMR’s economic costs is the COVID-19 pandemic, which cost an estimated 10 percent of global GDP in 2021. Experts warn that the next pandemic may well involve a drug-resistant pathogen.</w:t>
      </w:r>
      <w:r w:rsidR="00A37DAC" w:rsidRPr="00DA36E6">
        <w:rPr>
          <w:vertAlign w:val="superscript"/>
        </w:rPr>
        <w:footnoteReference w:id="7"/>
      </w:r>
    </w:p>
    <w:p w14:paraId="27A0B990" w14:textId="19D51292" w:rsidR="00A37DAC" w:rsidRPr="00DA36E6" w:rsidRDefault="00A37DAC" w:rsidP="00A37DAC">
      <w:r w:rsidRPr="00DA36E6">
        <w:rPr>
          <w:rFonts w:ascii="Times New Roman" w:eastAsia="Times New Roman" w:hAnsi="Times New Roman" w:cs="Times New Roman"/>
          <w:bCs/>
          <w:color w:val="000000"/>
        </w:rPr>
        <w:t>These losses will have a significant negative effect on the return of diversified portfolios held by Yum’s investors over the long term.</w:t>
      </w:r>
      <w:bookmarkStart w:id="4" w:name="_Ref92272073"/>
      <w:r w:rsidRPr="00DA36E6">
        <w:rPr>
          <w:rStyle w:val="FootnoteReference"/>
          <w:rFonts w:ascii="Times New Roman" w:eastAsia="Times New Roman" w:hAnsi="Times New Roman" w:cs="Times New Roman"/>
          <w:bCs/>
          <w:color w:val="000000"/>
        </w:rPr>
        <w:footnoteReference w:id="8"/>
      </w:r>
      <w:bookmarkEnd w:id="4"/>
      <w:r w:rsidRPr="00DA36E6">
        <w:rPr>
          <w:rFonts w:ascii="Times New Roman" w:eastAsia="Times New Roman" w:hAnsi="Times New Roman" w:cs="Times New Roman"/>
          <w:bCs/>
          <w:color w:val="000000"/>
        </w:rPr>
        <w:t xml:space="preserve"> </w:t>
      </w:r>
      <w:r w:rsidRPr="00DA36E6">
        <w:t xml:space="preserve">A healthy economy is a far greater value driver for diversified portfolios than the profits of any one company within those portfolios. </w:t>
      </w:r>
    </w:p>
    <w:p w14:paraId="53D1DC5A" w14:textId="77777777" w:rsidR="005A5877" w:rsidRPr="00DA36E6" w:rsidRDefault="005A5877" w:rsidP="005A5877">
      <w:pPr>
        <w:pStyle w:val="Heading2"/>
      </w:pPr>
      <w:r w:rsidRPr="00DA36E6">
        <w:t>Investors know AMR is a growing, systemic threat</w:t>
      </w:r>
    </w:p>
    <w:p w14:paraId="34FF417D" w14:textId="076AB84D" w:rsidR="005A5877" w:rsidRPr="00DA36E6" w:rsidRDefault="005A5877" w:rsidP="005A5877">
      <w:r w:rsidRPr="00DA36E6">
        <w:t>Leading investors are increasingly recognizing the threat AMR poses. The Investor Action on AMR initiative aims to “leverage investor influence to combat drug-resistant superbugs,” noting the grave economic losses associated with AMR.</w:t>
      </w:r>
      <w:r w:rsidRPr="00DA36E6">
        <w:rPr>
          <w:vertAlign w:val="superscript"/>
        </w:rPr>
        <w:footnoteReference w:id="9"/>
      </w:r>
      <w:r w:rsidRPr="00DA36E6">
        <w:t xml:space="preserve"> Investor partners </w:t>
      </w:r>
      <w:r w:rsidR="0075053D">
        <w:t>represent $14 trillion in assets</w:t>
      </w:r>
      <w:r w:rsidRPr="00DA36E6">
        <w:t xml:space="preserve">. One investor partner, </w:t>
      </w:r>
      <w:r w:rsidRPr="00DA36E6">
        <w:rPr>
          <w:b/>
          <w:bCs/>
        </w:rPr>
        <w:t>Legal &amp; General Investment Management</w:t>
      </w:r>
      <w:r w:rsidR="00055AA5" w:rsidRPr="00DA36E6">
        <w:t xml:space="preserve">, </w:t>
      </w:r>
      <w:r w:rsidRPr="00DA36E6">
        <w:t>has staked out a position on its own website as to why investors should care about AMR, saying:</w:t>
      </w:r>
    </w:p>
    <w:p w14:paraId="1977D334" w14:textId="5B9824FE" w:rsidR="00EC0C35" w:rsidRPr="00EC29CE" w:rsidRDefault="00EC0C35" w:rsidP="00EC0C35">
      <w:pPr>
        <w:pStyle w:val="Quote"/>
      </w:pPr>
      <w:r w:rsidRPr="00EE0F77">
        <w:t>Failure to adequately address AMR risk across supply chains could cost the global economy $100 trillion by 2050</w:t>
      </w:r>
      <w:r>
        <w:t>.</w:t>
      </w:r>
      <w:r w:rsidRPr="00EE0F77">
        <w:t> We believe compliance with WHO guidelines by these fast-food companies</w:t>
      </w:r>
      <w:r>
        <w:t xml:space="preserve"> [including </w:t>
      </w:r>
      <w:r w:rsidR="00394FC5">
        <w:t>McDonald’s</w:t>
      </w:r>
      <w:r>
        <w:t>]</w:t>
      </w:r>
      <w:r w:rsidRPr="00EE0F77">
        <w:t xml:space="preserve"> would be a big step in mitigating AMR risk; </w:t>
      </w:r>
      <w:r w:rsidRPr="00EE0F77">
        <w:lastRenderedPageBreak/>
        <w:t>their influence within their sector could also help them lead by example by encouraging broader improvements, expanding potential for effective action on this systemic risk</w:t>
      </w:r>
      <w:r w:rsidRPr="00EC29CE">
        <w:t>.</w:t>
      </w:r>
      <w:r w:rsidRPr="00EC29CE">
        <w:rPr>
          <w:vertAlign w:val="superscript"/>
        </w:rPr>
        <w:footnoteReference w:id="10"/>
      </w:r>
    </w:p>
    <w:p w14:paraId="352706EC" w14:textId="1A09F829" w:rsidR="0021193E" w:rsidRPr="00EC29CE" w:rsidRDefault="0021193E" w:rsidP="0021193E">
      <w:pPr>
        <w:pStyle w:val="Heading2"/>
      </w:pPr>
      <w:r w:rsidRPr="00EC29CE">
        <w:t>The WHO Gu</w:t>
      </w:r>
      <w:r w:rsidR="00BC6568">
        <w:t>i</w:t>
      </w:r>
      <w:r w:rsidRPr="00EC29CE">
        <w:t>delines establish a clear set of parameters that mitigate AMR risk from food production</w:t>
      </w:r>
    </w:p>
    <w:p w14:paraId="35416E7E" w14:textId="77777777" w:rsidR="0021193E" w:rsidRPr="00EC29CE" w:rsidRDefault="0021193E" w:rsidP="0021193E">
      <w:r w:rsidRPr="00EC29CE">
        <w:t xml:space="preserve">An </w:t>
      </w:r>
      <w:proofErr w:type="gramStart"/>
      <w:r w:rsidRPr="00EC29CE">
        <w:t>expert-led</w:t>
      </w:r>
      <w:proofErr w:type="gramEnd"/>
      <w:r>
        <w:t>,</w:t>
      </w:r>
      <w:r w:rsidRPr="00EC29CE">
        <w:t xml:space="preserve"> WHO process developed four specific guidelines for food producers:</w:t>
      </w:r>
    </w:p>
    <w:p w14:paraId="2A389AB0" w14:textId="77777777" w:rsidR="0021193E" w:rsidRPr="00EC29CE" w:rsidRDefault="0021193E" w:rsidP="0021193E">
      <w:pPr>
        <w:pStyle w:val="ListParagraph"/>
        <w:numPr>
          <w:ilvl w:val="0"/>
          <w:numId w:val="8"/>
        </w:numPr>
        <w:contextualSpacing w:val="0"/>
      </w:pPr>
      <w:r w:rsidRPr="00EC29CE">
        <w:t>An overall reduction in use of all classes of medically important antimicrobials in food-producing animals.</w:t>
      </w:r>
    </w:p>
    <w:p w14:paraId="58930D48" w14:textId="77777777" w:rsidR="0021193E" w:rsidRPr="00EC29CE" w:rsidRDefault="0021193E" w:rsidP="0021193E">
      <w:pPr>
        <w:pStyle w:val="ListParagraph"/>
        <w:numPr>
          <w:ilvl w:val="0"/>
          <w:numId w:val="8"/>
        </w:numPr>
        <w:contextualSpacing w:val="0"/>
      </w:pPr>
      <w:r w:rsidRPr="00EC29CE">
        <w:t>Complete restriction of use of all classes of medically important antimicrobials in food-producing animals for growth promotion.</w:t>
      </w:r>
    </w:p>
    <w:p w14:paraId="1C71579A" w14:textId="77777777" w:rsidR="0021193E" w:rsidRPr="00EC29CE" w:rsidRDefault="0021193E" w:rsidP="0021193E">
      <w:pPr>
        <w:pStyle w:val="ListParagraph"/>
        <w:numPr>
          <w:ilvl w:val="0"/>
          <w:numId w:val="8"/>
        </w:numPr>
        <w:contextualSpacing w:val="0"/>
      </w:pPr>
      <w:r w:rsidRPr="00EC29CE">
        <w:t>Complete restriction of use of all classes of medically important antimicrobials in food-producing animals for prevention of infectious disease that have not yet been clinically diagnosed.</w:t>
      </w:r>
    </w:p>
    <w:p w14:paraId="433A7D9F" w14:textId="77777777" w:rsidR="0021193E" w:rsidRPr="00EC29CE" w:rsidRDefault="0021193E" w:rsidP="0021193E">
      <w:pPr>
        <w:pStyle w:val="ListParagraph"/>
        <w:numPr>
          <w:ilvl w:val="0"/>
          <w:numId w:val="8"/>
        </w:numPr>
        <w:contextualSpacing w:val="0"/>
      </w:pPr>
      <w:r w:rsidRPr="00EC29CE">
        <w:t>Antimicrobials classified as critically important for human medicine should not be used for disease control within a group of food-producing animals, and antimicrobials classified as highest priority critically important for human medicine should not be used for treatment of any food-producing animals.</w:t>
      </w:r>
      <w:r w:rsidRPr="00EC29CE">
        <w:rPr>
          <w:rStyle w:val="FootnoteReference"/>
        </w:rPr>
        <w:footnoteReference w:id="11"/>
      </w:r>
    </w:p>
    <w:p w14:paraId="35F20BF6" w14:textId="77777777" w:rsidR="0021193E" w:rsidRPr="00EC29CE" w:rsidRDefault="0021193E" w:rsidP="0021193E">
      <w:r w:rsidRPr="00EC29CE">
        <w:t>These Guidelines represent a scientific consensus on the measures necessary to protect public health from AMR:</w:t>
      </w:r>
    </w:p>
    <w:p w14:paraId="21C1B5FC" w14:textId="77777777" w:rsidR="0021193E" w:rsidRPr="00EC29CE" w:rsidRDefault="0021193E" w:rsidP="0021193E">
      <w:pPr>
        <w:pStyle w:val="Quote"/>
      </w:pPr>
      <w:r w:rsidRPr="00EC29CE">
        <w:t xml:space="preserve">These documents recognize the global nature of antibiotic resistance and the rapid spread of resistant organisms and genetic determinants of resistance across continents. They also recognize that all uses of antibiotics – both in humans and animals – contribute to the development of resistance in bacteria. </w:t>
      </w:r>
    </w:p>
    <w:p w14:paraId="1F6F4151" w14:textId="77777777" w:rsidR="0021193E" w:rsidRPr="00EC29CE" w:rsidRDefault="0021193E" w:rsidP="0021193E">
      <w:pPr>
        <w:pStyle w:val="Quote"/>
      </w:pPr>
      <w:r w:rsidRPr="00EC29CE">
        <w:t>These guidelines are consistent with the work by a WHO expert group that has issued reports on the importance of evaluating agricultural uses for the purpose of protecting the efficacy of clinically important antibiotics for preventing and treating infectious disease in humans…</w:t>
      </w:r>
      <w:r w:rsidRPr="00EC29CE">
        <w:rPr>
          <w:rStyle w:val="FootnoteReference"/>
        </w:rPr>
        <w:footnoteReference w:id="12"/>
      </w:r>
    </w:p>
    <w:p w14:paraId="0A297FD2" w14:textId="17B53555" w:rsidR="0021193E" w:rsidRPr="00EC29CE" w:rsidRDefault="0021193E" w:rsidP="0021193E">
      <w:r w:rsidRPr="007D3987">
        <w:t xml:space="preserve">In contrast to these well-established parameters, </w:t>
      </w:r>
      <w:r w:rsidR="00FF71E8" w:rsidRPr="007D3987">
        <w:t>McDonald’s</w:t>
      </w:r>
      <w:r w:rsidRPr="007D3987">
        <w:t xml:space="preserve"> programs to limit antimicrobial use in its supply chain are, as described below, unsystematic, covering some animal products but not others, and applying inconsistently </w:t>
      </w:r>
      <w:r w:rsidR="005C2FF8" w:rsidRPr="007D3987">
        <w:t>across its markets</w:t>
      </w:r>
      <w:r w:rsidRPr="007D3987">
        <w:t xml:space="preserve">. </w:t>
      </w:r>
      <w:r w:rsidR="000303DA" w:rsidRPr="007D3987">
        <w:t>We recommend</w:t>
      </w:r>
      <w:r w:rsidRPr="007D3987">
        <w:t xml:space="preserve"> that the Company adopt and adhere to a </w:t>
      </w:r>
      <w:r w:rsidRPr="007D3987">
        <w:lastRenderedPageBreak/>
        <w:t xml:space="preserve">single, scientifically based standard designed to protect human health rather than Company financial returns. Such reprioritization is necessary to protect the diversified portfolios of </w:t>
      </w:r>
      <w:r w:rsidR="000303DA" w:rsidRPr="007D3987">
        <w:t>McDonald’s</w:t>
      </w:r>
      <w:r w:rsidRPr="007D3987">
        <w:t xml:space="preserve"> shareholders.</w:t>
      </w:r>
    </w:p>
    <w:p w14:paraId="72A471A4" w14:textId="460361D1" w:rsidR="008F6018" w:rsidRPr="00DA36E6" w:rsidRDefault="008F6018" w:rsidP="008F6018">
      <w:pPr>
        <w:pStyle w:val="Heading1"/>
      </w:pPr>
      <w:r w:rsidRPr="00DA36E6">
        <w:t>McDonald’s decisions on antibiotics use a</w:t>
      </w:r>
      <w:r w:rsidR="00C525A0" w:rsidRPr="00DA36E6">
        <w:t>re insufficient to mitigate AMR risk and</w:t>
      </w:r>
      <w:r w:rsidRPr="00DA36E6">
        <w:t xml:space="preserve"> do not account for economic impact</w:t>
      </w:r>
    </w:p>
    <w:p w14:paraId="79C44A89" w14:textId="709F5E2C" w:rsidR="001176F4" w:rsidRPr="00DA36E6" w:rsidRDefault="27AE5414" w:rsidP="001176F4">
      <w:pPr>
        <w:rPr>
          <w:lang w:bidi="ar-SA"/>
        </w:rPr>
      </w:pPr>
      <w:r w:rsidRPr="00DA36E6">
        <w:rPr>
          <w:lang w:bidi="ar-SA"/>
        </w:rPr>
        <w:t xml:space="preserve">McDonald’s </w:t>
      </w:r>
      <w:r w:rsidR="00882A8F" w:rsidRPr="00DA36E6">
        <w:rPr>
          <w:lang w:bidi="ar-SA"/>
        </w:rPr>
        <w:t>approach</w:t>
      </w:r>
      <w:r w:rsidRPr="00DA36E6">
        <w:rPr>
          <w:lang w:bidi="ar-SA"/>
        </w:rPr>
        <w:t>, which i</w:t>
      </w:r>
      <w:r w:rsidR="15C18D58" w:rsidRPr="00DA36E6">
        <w:rPr>
          <w:lang w:bidi="ar-SA"/>
        </w:rPr>
        <w:t>t</w:t>
      </w:r>
      <w:r w:rsidRPr="00DA36E6">
        <w:rPr>
          <w:lang w:bidi="ar-SA"/>
        </w:rPr>
        <w:t xml:space="preserve"> says </w:t>
      </w:r>
      <w:r w:rsidR="00882A8F" w:rsidRPr="00DA36E6">
        <w:rPr>
          <w:lang w:bidi="ar-SA"/>
        </w:rPr>
        <w:t>is</w:t>
      </w:r>
      <w:r w:rsidRPr="00DA36E6">
        <w:rPr>
          <w:lang w:bidi="ar-SA"/>
        </w:rPr>
        <w:t xml:space="preserve"> informed by </w:t>
      </w:r>
      <w:r w:rsidR="00E81838" w:rsidRPr="00DA36E6">
        <w:rPr>
          <w:lang w:bidi="ar-SA"/>
        </w:rPr>
        <w:t>external expert guidance</w:t>
      </w:r>
      <w:r w:rsidR="5685B7C7" w:rsidRPr="00DA36E6">
        <w:rPr>
          <w:lang w:bidi="ar-SA"/>
        </w:rPr>
        <w:t xml:space="preserve">—a semantic world away from compliance—are not </w:t>
      </w:r>
      <w:r w:rsidR="173A7A34" w:rsidRPr="00DA36E6">
        <w:rPr>
          <w:lang w:bidi="ar-SA"/>
        </w:rPr>
        <w:t xml:space="preserve">sufficient to mitigate the risk its </w:t>
      </w:r>
      <w:r w:rsidR="001176F4" w:rsidRPr="00DA36E6">
        <w:rPr>
          <w:lang w:bidi="ar-SA"/>
        </w:rPr>
        <w:t>diversified</w:t>
      </w:r>
      <w:r w:rsidR="173A7A34" w:rsidRPr="00DA36E6">
        <w:rPr>
          <w:lang w:bidi="ar-SA"/>
        </w:rPr>
        <w:t xml:space="preserve"> shareholders face to their portfolios from AMR proliferation</w:t>
      </w:r>
      <w:r w:rsidR="00C87745" w:rsidRPr="00DA36E6">
        <w:rPr>
          <w:lang w:bidi="ar-SA"/>
        </w:rPr>
        <w:t xml:space="preserve">. </w:t>
      </w:r>
      <w:proofErr w:type="gramStart"/>
      <w:r w:rsidR="00C87745" w:rsidRPr="00DA36E6">
        <w:rPr>
          <w:lang w:bidi="ar-SA"/>
        </w:rPr>
        <w:t>I</w:t>
      </w:r>
      <w:r w:rsidR="00D46DF1" w:rsidRPr="00DA36E6">
        <w:rPr>
          <w:lang w:bidi="ar-SA"/>
        </w:rPr>
        <w:t>n particular, they</w:t>
      </w:r>
      <w:proofErr w:type="gramEnd"/>
      <w:r w:rsidR="00D46DF1" w:rsidRPr="00DA36E6">
        <w:rPr>
          <w:lang w:bidi="ar-SA"/>
        </w:rPr>
        <w:t xml:space="preserve"> do </w:t>
      </w:r>
      <w:r w:rsidR="00D27E59" w:rsidRPr="00DA36E6">
        <w:rPr>
          <w:lang w:bidi="ar-SA"/>
        </w:rPr>
        <w:t>n</w:t>
      </w:r>
      <w:r w:rsidR="00D46DF1" w:rsidRPr="00DA36E6">
        <w:rPr>
          <w:lang w:bidi="ar-SA"/>
        </w:rPr>
        <w:t xml:space="preserve">ot </w:t>
      </w:r>
      <w:r w:rsidR="007E120E">
        <w:rPr>
          <w:lang w:bidi="ar-SA"/>
        </w:rPr>
        <w:t>meet the WHO Guidelines</w:t>
      </w:r>
      <w:r w:rsidR="01067679" w:rsidRPr="00DA36E6">
        <w:rPr>
          <w:lang w:bidi="ar-SA"/>
        </w:rPr>
        <w:t>.</w:t>
      </w:r>
    </w:p>
    <w:p w14:paraId="64C2575D" w14:textId="2D6E4F6F" w:rsidR="00D74223" w:rsidRPr="00DA36E6" w:rsidRDefault="0034620E" w:rsidP="000D7154">
      <w:pPr>
        <w:pStyle w:val="Heading2"/>
        <w:numPr>
          <w:ilvl w:val="0"/>
          <w:numId w:val="6"/>
        </w:numPr>
      </w:pPr>
      <w:r w:rsidRPr="00DA36E6">
        <w:t>McDonald’s</w:t>
      </w:r>
      <w:r w:rsidR="00D74223" w:rsidRPr="00DA36E6">
        <w:t xml:space="preserve"> </w:t>
      </w:r>
      <w:r w:rsidR="009265E0" w:rsidRPr="00DA36E6">
        <w:t>suggests it is already implementing policies</w:t>
      </w:r>
      <w:r w:rsidR="002167B5" w:rsidRPr="00DA36E6">
        <w:t xml:space="preserve"> that align with </w:t>
      </w:r>
      <w:r w:rsidR="00DF20D3" w:rsidRPr="00DA36E6">
        <w:t xml:space="preserve">external expert </w:t>
      </w:r>
      <w:r w:rsidR="00D90371" w:rsidRPr="00DA36E6">
        <w:t>guidance</w:t>
      </w:r>
      <w:r w:rsidR="002167B5" w:rsidRPr="00DA36E6">
        <w:t>, without acknowledging that it continues to fail in that endeavor</w:t>
      </w:r>
    </w:p>
    <w:p w14:paraId="1F59163B" w14:textId="0EF1DEDB" w:rsidR="005A68BE" w:rsidRPr="00DA36E6" w:rsidRDefault="64995EB0" w:rsidP="005A68BE">
      <w:pPr>
        <w:spacing w:after="0"/>
      </w:pPr>
      <w:r w:rsidRPr="00DA36E6">
        <w:t xml:space="preserve">McDonald’s </w:t>
      </w:r>
      <w:r w:rsidR="3F7E2956" w:rsidRPr="00DA36E6">
        <w:t>indicate</w:t>
      </w:r>
      <w:r w:rsidR="0024787D">
        <w:t>d</w:t>
      </w:r>
      <w:r w:rsidR="3DF49700" w:rsidRPr="00DA36E6">
        <w:t xml:space="preserve"> in its Opposition Statement</w:t>
      </w:r>
      <w:r w:rsidR="3F7E2956" w:rsidRPr="00DA36E6">
        <w:t xml:space="preserve"> </w:t>
      </w:r>
      <w:r w:rsidR="0024787D">
        <w:t xml:space="preserve">to the 2024 AMR proposal </w:t>
      </w:r>
      <w:r w:rsidR="761E360A" w:rsidRPr="00DA36E6">
        <w:t xml:space="preserve">that its “antibiotic use policies do not permit the routine use of medically important antibiotics for the purpose of growth promotion </w:t>
      </w:r>
      <w:r w:rsidR="366AC229" w:rsidRPr="00DA36E6">
        <w:t>or</w:t>
      </w:r>
      <w:r w:rsidR="761E360A" w:rsidRPr="00DA36E6">
        <w:t xml:space="preserve"> the habitual use of antibiotics for disease prevention</w:t>
      </w:r>
      <w:r w:rsidR="2DCB06AF" w:rsidRPr="00DA36E6">
        <w:t>,”</w:t>
      </w:r>
      <w:r w:rsidR="5AE5F7EC" w:rsidRPr="00DA36E6">
        <w:t xml:space="preserve"> although the Company </w:t>
      </w:r>
      <w:r w:rsidR="00286D52">
        <w:t>said</w:t>
      </w:r>
      <w:r w:rsidR="5AE5F7EC" w:rsidRPr="00DA36E6">
        <w:t xml:space="preserve"> in a footnote that this proscription </w:t>
      </w:r>
      <w:r w:rsidR="00DC2E12" w:rsidRPr="00DA36E6">
        <w:t>applie</w:t>
      </w:r>
      <w:r w:rsidR="00286D52">
        <w:t>d</w:t>
      </w:r>
      <w:r w:rsidR="00DC2E12" w:rsidRPr="00DA36E6">
        <w:t xml:space="preserve"> only to its beef and chicken supply chains, omitting any mention of por</w:t>
      </w:r>
      <w:r w:rsidR="00B87523" w:rsidRPr="00DA36E6">
        <w:t>k.</w:t>
      </w:r>
      <w:r w:rsidR="00FB58A2">
        <w:rPr>
          <w:rStyle w:val="FootnoteReference"/>
        </w:rPr>
        <w:footnoteReference w:id="13"/>
      </w:r>
      <w:r w:rsidR="00B87523" w:rsidRPr="00DA36E6">
        <w:t xml:space="preserve"> </w:t>
      </w:r>
      <w:r w:rsidR="003109C2" w:rsidRPr="00DA36E6">
        <w:t xml:space="preserve">The </w:t>
      </w:r>
      <w:r w:rsidR="00AC64F2">
        <w:t xml:space="preserve">WHO </w:t>
      </w:r>
      <w:r w:rsidR="003109C2" w:rsidRPr="00DA36E6">
        <w:t>Guideline</w:t>
      </w:r>
      <w:r w:rsidR="00AC64F2">
        <w:t>s</w:t>
      </w:r>
      <w:r w:rsidR="003109C2" w:rsidRPr="00DA36E6">
        <w:t xml:space="preserve"> </w:t>
      </w:r>
      <w:r w:rsidR="00AC64F2">
        <w:t>are</w:t>
      </w:r>
      <w:r w:rsidR="003109C2" w:rsidRPr="00DA36E6">
        <w:t xml:space="preserve"> not restricted to “routine” or “habitual” use</w:t>
      </w:r>
      <w:r w:rsidR="00105952" w:rsidRPr="00DA36E6">
        <w:t>, and this is an exception that can simply swallow the rule</w:t>
      </w:r>
      <w:r w:rsidR="00A9216F" w:rsidRPr="00DA36E6">
        <w:t xml:space="preserve"> </w:t>
      </w:r>
      <w:r w:rsidR="00B45903" w:rsidRPr="00DA36E6">
        <w:t xml:space="preserve">by obtaining </w:t>
      </w:r>
      <w:r w:rsidR="007757FA" w:rsidRPr="00DA36E6">
        <w:t>advice from “a</w:t>
      </w:r>
      <w:r w:rsidR="00B45903" w:rsidRPr="00DA36E6">
        <w:t xml:space="preserve"> qualified veterinarian familiar with the disease history in the herd</w:t>
      </w:r>
      <w:r w:rsidR="00315009" w:rsidRPr="00DA36E6">
        <w:t>.”</w:t>
      </w:r>
    </w:p>
    <w:p w14:paraId="7E207F5F" w14:textId="77777777" w:rsidR="005A68BE" w:rsidRPr="00DA36E6" w:rsidRDefault="005A68BE" w:rsidP="005A68BE">
      <w:pPr>
        <w:spacing w:after="0"/>
      </w:pPr>
    </w:p>
    <w:p w14:paraId="236AFB59" w14:textId="251A0158" w:rsidR="00365348" w:rsidRDefault="009939B8" w:rsidP="005A68BE">
      <w:pPr>
        <w:spacing w:after="0"/>
      </w:pPr>
      <w:r w:rsidRPr="00DA36E6">
        <w:t xml:space="preserve">The </w:t>
      </w:r>
      <w:r w:rsidR="00E015B1" w:rsidRPr="00DA36E6">
        <w:t xml:space="preserve">chicken and </w:t>
      </w:r>
      <w:r w:rsidRPr="00DA36E6">
        <w:t>beef polic</w:t>
      </w:r>
      <w:r w:rsidR="00E015B1" w:rsidRPr="00DA36E6">
        <w:t>ies</w:t>
      </w:r>
      <w:r w:rsidRPr="00DA36E6">
        <w:t xml:space="preserve"> quoted above clearly do not comport with </w:t>
      </w:r>
      <w:r w:rsidR="008F0886">
        <w:t>the WHO Guidelines</w:t>
      </w:r>
      <w:r w:rsidR="00127078" w:rsidRPr="00DA36E6">
        <w:t xml:space="preserve">, </w:t>
      </w:r>
      <w:r w:rsidR="00315009" w:rsidRPr="00DA36E6">
        <w:t>since they add an exception for “non-routine uses.</w:t>
      </w:r>
      <w:r w:rsidR="005C28E1" w:rsidRPr="00DA36E6">
        <w:t>”</w:t>
      </w:r>
      <w:r w:rsidR="00545660" w:rsidRPr="00DA36E6">
        <w:t xml:space="preserve"> Nor does the Company cite any evidence that it has pork policies that comply with </w:t>
      </w:r>
      <w:r w:rsidR="008F0886">
        <w:t>the WHO Guidelines</w:t>
      </w:r>
      <w:r w:rsidR="005423D0" w:rsidRPr="00DA36E6">
        <w:t>.</w:t>
      </w:r>
      <w:r w:rsidR="00E0690F" w:rsidRPr="00DA36E6">
        <w:t xml:space="preserve"> </w:t>
      </w:r>
      <w:r w:rsidR="00270060" w:rsidRPr="00DA36E6">
        <w:t>N</w:t>
      </w:r>
      <w:r w:rsidR="00597E3F" w:rsidRPr="00DA36E6">
        <w:t xml:space="preserve">or </w:t>
      </w:r>
      <w:r w:rsidR="00270060" w:rsidRPr="00DA36E6">
        <w:t>do</w:t>
      </w:r>
      <w:r w:rsidR="005A68BE" w:rsidRPr="00DA36E6">
        <w:t xml:space="preserve">es the Company </w:t>
      </w:r>
      <w:r w:rsidR="00270060" w:rsidRPr="00DA36E6">
        <w:t xml:space="preserve">appear to follow </w:t>
      </w:r>
      <w:r w:rsidR="00620449" w:rsidRPr="00DA36E6">
        <w:t xml:space="preserve">the fourth </w:t>
      </w:r>
      <w:r w:rsidR="002C1EA6" w:rsidRPr="00DA36E6">
        <w:t>WHO Guideline</w:t>
      </w:r>
      <w:r w:rsidR="001F695C" w:rsidRPr="00DA36E6">
        <w:t>, which suggests</w:t>
      </w:r>
      <w:r w:rsidR="00116F3B" w:rsidRPr="00DA36E6">
        <w:t>:</w:t>
      </w:r>
      <w:r w:rsidR="00A3274B" w:rsidRPr="00DA36E6">
        <w:rPr>
          <w:rStyle w:val="FootnoteReference"/>
        </w:rPr>
        <w:footnoteReference w:id="14"/>
      </w:r>
    </w:p>
    <w:p w14:paraId="7D0788DA" w14:textId="77777777" w:rsidR="008F0886" w:rsidRPr="00DA36E6" w:rsidRDefault="008F0886" w:rsidP="005A68BE">
      <w:pPr>
        <w:spacing w:after="0"/>
      </w:pPr>
    </w:p>
    <w:p w14:paraId="02A76C6B" w14:textId="5C2FB836" w:rsidR="00F6404A" w:rsidRPr="00DA36E6" w:rsidRDefault="00C60BA2" w:rsidP="000D7154">
      <w:pPr>
        <w:pStyle w:val="Quote"/>
        <w:numPr>
          <w:ilvl w:val="0"/>
          <w:numId w:val="7"/>
        </w:numPr>
      </w:pPr>
      <w:r w:rsidRPr="00DA36E6">
        <w:t>antimicrobials classified as critically important for human medicine should not be used for control of the dissemination of a clinically diagnosed infectious disease identified within a group of food-producing animals</w:t>
      </w:r>
      <w:r w:rsidR="001F695C" w:rsidRPr="00DA36E6">
        <w:t xml:space="preserve"> [and]</w:t>
      </w:r>
    </w:p>
    <w:p w14:paraId="0F6CBC6E" w14:textId="0869C177" w:rsidR="00C60BA2" w:rsidRPr="00DA36E6" w:rsidRDefault="00C60BA2" w:rsidP="000D7154">
      <w:pPr>
        <w:pStyle w:val="Quote"/>
        <w:numPr>
          <w:ilvl w:val="0"/>
          <w:numId w:val="7"/>
        </w:numPr>
      </w:pPr>
      <w:r w:rsidRPr="00DA36E6">
        <w:t>antimicrobials classified as highest priority critically important for human medicine should not be used for treatment of food-producing animals with a clinically diagnosed infectious disease.</w:t>
      </w:r>
    </w:p>
    <w:p w14:paraId="3F570DCB" w14:textId="0559F963" w:rsidR="004B2965" w:rsidRDefault="004B2965" w:rsidP="00A226E8">
      <w:r>
        <w:t xml:space="preserve">The Company has not </w:t>
      </w:r>
      <w:r w:rsidR="002F7BC9">
        <w:t xml:space="preserve">since </w:t>
      </w:r>
      <w:r w:rsidR="000644C1">
        <w:t>brought its policies any closer to WHO Guidelines</w:t>
      </w:r>
      <w:r w:rsidR="002F7BC9">
        <w:t xml:space="preserve"> compliance.</w:t>
      </w:r>
      <w:r w:rsidR="00AF402B">
        <w:rPr>
          <w:rStyle w:val="FootnoteReference"/>
        </w:rPr>
        <w:footnoteReference w:id="15"/>
      </w:r>
    </w:p>
    <w:p w14:paraId="17829143" w14:textId="36BB0261" w:rsidR="006524F3" w:rsidRPr="00DA36E6" w:rsidRDefault="00D6748D" w:rsidP="00A226E8">
      <w:r w:rsidRPr="00DA36E6">
        <w:lastRenderedPageBreak/>
        <w:t xml:space="preserve">Moreover, </w:t>
      </w:r>
      <w:r w:rsidR="006524F3" w:rsidRPr="00DA36E6">
        <w:t xml:space="preserve">a November 2022 investigation by the </w:t>
      </w:r>
      <w:r w:rsidR="006524F3" w:rsidRPr="00DA36E6">
        <w:rPr>
          <w:i/>
          <w:iCs/>
        </w:rPr>
        <w:t>Bureau of Investigative Journalism</w:t>
      </w:r>
      <w:r w:rsidR="006524F3" w:rsidRPr="00DA36E6">
        <w:t xml:space="preserve"> and the </w:t>
      </w:r>
      <w:r w:rsidR="006524F3" w:rsidRPr="00DA36E6">
        <w:rPr>
          <w:i/>
          <w:iCs/>
        </w:rPr>
        <w:t>Guardian</w:t>
      </w:r>
      <w:r w:rsidR="0046615F" w:rsidRPr="00DA36E6">
        <w:rPr>
          <w:rStyle w:val="FootnoteReference"/>
          <w:i/>
          <w:iCs/>
        </w:rPr>
        <w:footnoteReference w:id="16"/>
      </w:r>
      <w:r w:rsidR="006524F3" w:rsidRPr="00DA36E6">
        <w:t xml:space="preserve"> found that McDonald’s supplier Cargill sources meat from U.S. farms that use “highest priority critically important</w:t>
      </w:r>
      <w:r w:rsidR="00A226E8" w:rsidRPr="00DA36E6">
        <w:t xml:space="preserve"> antibiotics</w:t>
      </w:r>
      <w:r w:rsidR="006524F3" w:rsidRPr="00DA36E6">
        <w:t>” (HPCIAs)</w:t>
      </w:r>
      <w:r w:rsidR="00A226E8" w:rsidRPr="00DA36E6">
        <w:t xml:space="preserve">, which </w:t>
      </w:r>
      <w:r w:rsidR="006524F3" w:rsidRPr="00DA36E6">
        <w:t xml:space="preserve">are so essential to human medicine that </w:t>
      </w:r>
      <w:r w:rsidR="00A226E8" w:rsidRPr="00DA36E6">
        <w:t xml:space="preserve">the WHO Guidelines </w:t>
      </w:r>
      <w:r w:rsidR="000A2511" w:rsidRPr="00DA36E6">
        <w:t>suggest</w:t>
      </w:r>
      <w:r w:rsidR="00097E09" w:rsidRPr="00DA36E6">
        <w:t xml:space="preserve"> </w:t>
      </w:r>
      <w:r w:rsidR="006524F3" w:rsidRPr="00DA36E6">
        <w:t>their use in livestock farming should be stopped</w:t>
      </w:r>
      <w:r w:rsidR="0085688D" w:rsidRPr="00DA36E6">
        <w:t xml:space="preserve"> entirely</w:t>
      </w:r>
      <w:r w:rsidR="006524F3" w:rsidRPr="00DA36E6">
        <w:t>. HPCIAs are often the last line or one of limited treatments available for serious bacterial infections in humans.</w:t>
      </w:r>
      <w:r w:rsidR="00E647B3" w:rsidRPr="00DA36E6">
        <w:t xml:space="preserve"> </w:t>
      </w:r>
      <w:r w:rsidR="00172782" w:rsidRPr="00DA36E6">
        <w:t>The investigation found cattle suppliers to Cargill were using at least five HPCIAs.</w:t>
      </w:r>
      <w:r w:rsidR="008941C7">
        <w:t xml:space="preserve"> A </w:t>
      </w:r>
      <w:r w:rsidR="00E93D91">
        <w:t xml:space="preserve">2024 follow-on investigation found </w:t>
      </w:r>
      <w:r w:rsidR="0045584C">
        <w:t>farms supplying Cargill were still using at least two HPCIAs.</w:t>
      </w:r>
      <w:r w:rsidR="00AF22EB">
        <w:rPr>
          <w:rStyle w:val="FootnoteReference"/>
        </w:rPr>
        <w:footnoteReference w:id="17"/>
      </w:r>
    </w:p>
    <w:p w14:paraId="4DE43F95" w14:textId="497A9DA0" w:rsidR="00A81F10" w:rsidRPr="00DA36E6" w:rsidRDefault="00A81F10" w:rsidP="00A81F10">
      <w:pPr>
        <w:rPr>
          <w:bCs/>
        </w:rPr>
      </w:pPr>
      <w:r w:rsidRPr="00DA36E6">
        <w:rPr>
          <w:bCs/>
        </w:rPr>
        <w:t>Between 2015 and 2020, U.S. companies—including Tyson</w:t>
      </w:r>
      <w:r w:rsidR="004F7438" w:rsidRPr="00DA36E6">
        <w:rPr>
          <w:bCs/>
        </w:rPr>
        <w:t xml:space="preserve"> Foods, another major McDonald’s supplier</w:t>
      </w:r>
      <w:r w:rsidRPr="00DA36E6">
        <w:rPr>
          <w:bCs/>
        </w:rPr>
        <w:t>—sold tens of thousands of chicken products contaminated with campylobacter and salmonella, more than half of which were contaminated with antibiotic-resistant strains.</w:t>
      </w:r>
      <w:r w:rsidRPr="00DA36E6">
        <w:rPr>
          <w:bCs/>
          <w:vertAlign w:val="superscript"/>
        </w:rPr>
        <w:footnoteReference w:id="18"/>
      </w:r>
    </w:p>
    <w:p w14:paraId="1E698F69" w14:textId="77777777" w:rsidR="00D4734C" w:rsidRPr="00DA36E6" w:rsidRDefault="00D4734C" w:rsidP="00D4734C">
      <w:pPr>
        <w:rPr>
          <w:bCs/>
          <w:i/>
          <w:iCs/>
          <w:u w:val="single"/>
        </w:rPr>
      </w:pPr>
      <w:r w:rsidRPr="00DA36E6">
        <w:rPr>
          <w:i/>
          <w:iCs/>
          <w:u w:val="single"/>
        </w:rPr>
        <w:t>These reports point to a substantial gap between principles-based public commitments and evidence of the successful implementation of those commitments.</w:t>
      </w:r>
    </w:p>
    <w:p w14:paraId="52AF7008" w14:textId="0CF9A9B8" w:rsidR="00D4734C" w:rsidRPr="00DA36E6" w:rsidRDefault="00D4734C" w:rsidP="00D4734C">
      <w:r>
        <w:t xml:space="preserve">It appears </w:t>
      </w:r>
      <w:r w:rsidR="00127EB4">
        <w:t>McDonald’s</w:t>
      </w:r>
      <w:r>
        <w:t xml:space="preserve"> decision not to constrain antibiotics use to the levels </w:t>
      </w:r>
      <w:r w:rsidR="001E5695">
        <w:t xml:space="preserve">suggested by the scientific consensus represented by the WHO Guidelines </w:t>
      </w:r>
      <w:r>
        <w:t>is</w:t>
      </w:r>
      <w:r w:rsidR="00980FF5">
        <w:t xml:space="preserve"> </w:t>
      </w:r>
      <w:r>
        <w:t xml:space="preserve">attributable to </w:t>
      </w:r>
      <w:r w:rsidR="00F07DD1">
        <w:t xml:space="preserve">a Company approach to AMR that does not </w:t>
      </w:r>
      <w:r w:rsidR="44BB6058">
        <w:t xml:space="preserve">account for </w:t>
      </w:r>
      <w:r w:rsidR="00F07DD1">
        <w:t xml:space="preserve">economy- or portfolio-wide risk </w:t>
      </w:r>
      <w:proofErr w:type="gramStart"/>
      <w:r w:rsidR="00F07DD1">
        <w:t>mitigation, and</w:t>
      </w:r>
      <w:proofErr w:type="gramEnd"/>
      <w:r w:rsidR="00F07DD1">
        <w:t xml:space="preserve"> instead focuses on costs to its own business</w:t>
      </w:r>
      <w:r>
        <w:t>.</w:t>
      </w:r>
    </w:p>
    <w:p w14:paraId="40F15D9F" w14:textId="77777777" w:rsidR="0069548A" w:rsidRPr="00DA36E6" w:rsidRDefault="0069548A" w:rsidP="0069548A">
      <w:pPr>
        <w:pStyle w:val="Heading2"/>
      </w:pPr>
      <w:r w:rsidRPr="00DA36E6">
        <w:t>McDonald’s fails not only to require optimal antibiotics use, but also to meet its own commitments, which may exacerbate AMR that creates a drag on diversified portfolios</w:t>
      </w:r>
    </w:p>
    <w:p w14:paraId="06A16BAA" w14:textId="00F9B24D" w:rsidR="0069548A" w:rsidRPr="00DA36E6" w:rsidRDefault="0069548A" w:rsidP="0069548A">
      <w:pPr>
        <w:spacing w:before="200"/>
      </w:pPr>
      <w:r w:rsidRPr="00DA36E6">
        <w:t xml:space="preserve">McDonald’s failed to meet its own </w:t>
      </w:r>
      <w:r w:rsidR="00886F5D" w:rsidRPr="00DA36E6">
        <w:t xml:space="preserve">2018 </w:t>
      </w:r>
      <w:r w:rsidRPr="00DA36E6">
        <w:t>commitment</w:t>
      </w:r>
      <w:r w:rsidRPr="00DA36E6">
        <w:rPr>
          <w:rStyle w:val="FootnoteReference"/>
        </w:rPr>
        <w:footnoteReference w:id="19"/>
      </w:r>
      <w:r w:rsidRPr="00DA36E6">
        <w:t xml:space="preserve"> to set antibiotic use reduction targets for its beef supply chains by the end of 2020. If anything, McDonald’s seemed to be weakening its antibiotics use commitments in its subsequent statements.</w:t>
      </w:r>
      <w:r w:rsidRPr="00DA36E6">
        <w:rPr>
          <w:rStyle w:val="FootnoteReference"/>
        </w:rPr>
        <w:footnoteReference w:id="20"/>
      </w:r>
      <w:r w:rsidRPr="00DA36E6">
        <w:t xml:space="preserve"> The Company </w:t>
      </w:r>
      <w:r w:rsidR="00420524" w:rsidRPr="00DA36E6">
        <w:t>eventually</w:t>
      </w:r>
      <w:r w:rsidRPr="00DA36E6">
        <w:t xml:space="preserve"> promulgated </w:t>
      </w:r>
      <w:r w:rsidR="002148AE" w:rsidRPr="00DA36E6">
        <w:t>“</w:t>
      </w:r>
      <w:r w:rsidR="0064786F" w:rsidRPr="00DA36E6">
        <w:t>responsible</w:t>
      </w:r>
      <w:r w:rsidR="002148AE" w:rsidRPr="00DA36E6">
        <w:t xml:space="preserve"> use”</w:t>
      </w:r>
      <w:r w:rsidRPr="00DA36E6">
        <w:t xml:space="preserve"> targets </w:t>
      </w:r>
      <w:r w:rsidR="00B3763A" w:rsidRPr="00DA36E6">
        <w:t xml:space="preserve">(as opposed to reduction targets) </w:t>
      </w:r>
      <w:r w:rsidRPr="00DA36E6">
        <w:t>at the end of 2022</w:t>
      </w:r>
      <w:r w:rsidR="00420524" w:rsidRPr="00DA36E6">
        <w:t>.</w:t>
      </w:r>
      <w:r w:rsidRPr="00DA36E6">
        <w:rPr>
          <w:rStyle w:val="FootnoteReference"/>
        </w:rPr>
        <w:footnoteReference w:id="21"/>
      </w:r>
      <w:r w:rsidRPr="00DA36E6">
        <w:t xml:space="preserve"> Lena Brook, director of food campaigns at the Natural Resources Defense Council, said, “McDonald’s chose optics over substance with its new beef </w:t>
      </w:r>
      <w:r w:rsidRPr="00DA36E6">
        <w:lastRenderedPageBreak/>
        <w:t>policy update.”</w:t>
      </w:r>
      <w:r w:rsidRPr="00DA36E6">
        <w:rPr>
          <w:rStyle w:val="FootnoteReference"/>
        </w:rPr>
        <w:footnoteReference w:id="22"/>
      </w:r>
      <w:r w:rsidRPr="00DA36E6">
        <w:t xml:space="preserve"> In its </w:t>
      </w:r>
      <w:r w:rsidR="0044168D">
        <w:t xml:space="preserve">2024 </w:t>
      </w:r>
      <w:r w:rsidRPr="00DA36E6">
        <w:t xml:space="preserve">Opposition Statement, McDonald’s </w:t>
      </w:r>
      <w:r w:rsidR="0044168D">
        <w:t>said</w:t>
      </w:r>
      <w:r w:rsidRPr="00DA36E6">
        <w:t xml:space="preserve"> noncommittally of this policy that “[o]</w:t>
      </w:r>
      <w:proofErr w:type="spellStart"/>
      <w:r w:rsidRPr="00DA36E6">
        <w:t>verall</w:t>
      </w:r>
      <w:proofErr w:type="spellEnd"/>
      <w:r w:rsidRPr="00DA36E6">
        <w:t xml:space="preserve"> reduction remains an intended outcome.”</w:t>
      </w:r>
    </w:p>
    <w:p w14:paraId="59E7F9C0" w14:textId="3D94B60F" w:rsidR="0069548A" w:rsidRPr="00DA36E6" w:rsidRDefault="0069548A" w:rsidP="00D53AE9">
      <w:pPr>
        <w:spacing w:before="200"/>
      </w:pPr>
      <w:r w:rsidRPr="00DA36E6">
        <w:t xml:space="preserve">McDonald’s global chicken antibiotics policy aims to eliminate the use of the Highest Priority Critically Important Antibiotics (“HPCIAs”) by 2027 </w:t>
      </w:r>
      <w:r w:rsidR="005A39A2">
        <w:t>from</w:t>
      </w:r>
      <w:r w:rsidRPr="00DA36E6">
        <w:t xml:space="preserve"> its chicken supply chain.</w:t>
      </w:r>
      <w:r w:rsidR="005A39A2">
        <w:rPr>
          <w:rStyle w:val="FootnoteReference"/>
        </w:rPr>
        <w:footnoteReference w:id="23"/>
      </w:r>
      <w:r w:rsidRPr="00DA36E6">
        <w:t xml:space="preserve"> However, those promises also remain targets, and McDonald’s has demonstrated that it does not consistently hold itself to such commitments. Moreover, </w:t>
      </w:r>
      <w:r w:rsidR="000D3E96" w:rsidRPr="00DA36E6">
        <w:t>8</w:t>
      </w:r>
      <w:r w:rsidR="0062294C">
        <w:t>5</w:t>
      </w:r>
      <w:r w:rsidRPr="00DA36E6">
        <w:t xml:space="preserve"> percent of “medically important”</w:t>
      </w:r>
      <w:r w:rsidRPr="00DA36E6">
        <w:rPr>
          <w:rStyle w:val="FootnoteReference"/>
        </w:rPr>
        <w:footnoteReference w:id="24"/>
      </w:r>
      <w:r w:rsidRPr="00DA36E6">
        <w:t xml:space="preserve"> antibiotics sold to U.S. livestock operations go to cattle</w:t>
      </w:r>
      <w:r w:rsidR="0021422D" w:rsidRPr="00DA36E6">
        <w:t xml:space="preserve"> and swine</w:t>
      </w:r>
      <w:r w:rsidRPr="00DA36E6">
        <w:t xml:space="preserve">, compared to just </w:t>
      </w:r>
      <w:r w:rsidR="0021422D" w:rsidRPr="00DA36E6">
        <w:t>2</w:t>
      </w:r>
      <w:r w:rsidRPr="00DA36E6">
        <w:t xml:space="preserve"> percent to chicken.</w:t>
      </w:r>
      <w:r w:rsidRPr="00DA36E6">
        <w:rPr>
          <w:rStyle w:val="FootnoteReference"/>
        </w:rPr>
        <w:footnoteReference w:id="25"/>
      </w:r>
      <w:r w:rsidR="00D53AE9" w:rsidRPr="00DA36E6">
        <w:t xml:space="preserve"> </w:t>
      </w:r>
      <w:r w:rsidR="00A250D0" w:rsidRPr="00DA36E6">
        <w:t xml:space="preserve">As described above, McDonald’s antibiotics use policies for its beef supply chain are lacking. For </w:t>
      </w:r>
      <w:r w:rsidRPr="00DA36E6">
        <w:t xml:space="preserve">its pork supply chain, </w:t>
      </w:r>
      <w:r w:rsidR="00A250D0" w:rsidRPr="00DA36E6">
        <w:t>they are non-existent.</w:t>
      </w:r>
    </w:p>
    <w:p w14:paraId="3F7FB16C" w14:textId="182CBB9B" w:rsidR="00806DAF" w:rsidRPr="00DA36E6" w:rsidRDefault="00DE6C24" w:rsidP="00806DAF">
      <w:pPr>
        <w:pStyle w:val="Heading2"/>
      </w:pPr>
      <w:r w:rsidRPr="00DA36E6">
        <w:t xml:space="preserve">AMR’s broad economic </w:t>
      </w:r>
      <w:r w:rsidR="00E448E3" w:rsidRPr="00DA36E6">
        <w:t>cost surpasses any risk the issue poses to McDonald’s itself</w:t>
      </w:r>
    </w:p>
    <w:p w14:paraId="43A6AC9F" w14:textId="35B7F361" w:rsidR="00264628" w:rsidRPr="00DA36E6" w:rsidRDefault="008449DC" w:rsidP="00264628">
      <w:pPr>
        <w:rPr>
          <w:lang w:bidi="ar-SA"/>
        </w:rPr>
      </w:pPr>
      <w:r w:rsidRPr="00DA36E6">
        <w:rPr>
          <w:lang w:bidi="ar-SA"/>
        </w:rPr>
        <w:t>AMR</w:t>
      </w:r>
      <w:r w:rsidR="00264628" w:rsidRPr="00DA36E6">
        <w:rPr>
          <w:lang w:bidi="ar-SA"/>
        </w:rPr>
        <w:t xml:space="preserve"> poses a systemic, global threat to public health and the economy. When the efficacy and availability of life-saving drugs are compromised, the entire economy suffers. And when the economy suffers, investors lose.</w:t>
      </w:r>
    </w:p>
    <w:p w14:paraId="78B8A84B" w14:textId="77777777" w:rsidR="008A5B4C" w:rsidRPr="00EC29CE" w:rsidRDefault="517D4B78" w:rsidP="008A5B4C">
      <w:pPr>
        <w:rPr>
          <w:lang w:bidi="ar-SA"/>
        </w:rPr>
      </w:pPr>
      <w:r w:rsidRPr="00DA36E6">
        <w:rPr>
          <w:lang w:bidi="ar-SA"/>
        </w:rPr>
        <w:t xml:space="preserve">Corporate contributors to this problem are legion. </w:t>
      </w:r>
      <w:r w:rsidR="008A5B4C" w:rsidRPr="00EC29CE">
        <w:rPr>
          <w:lang w:bidi="ar-SA"/>
        </w:rPr>
        <w:t>They include overuse and misuse of antimicrobials in animal agriculture, which accounted for some 73 percent of global antimicrobial use by volume in 2017</w:t>
      </w:r>
      <w:r w:rsidR="008A5B4C" w:rsidRPr="00EC29CE">
        <w:rPr>
          <w:rStyle w:val="FootnoteReference"/>
          <w:lang w:bidi="ar-SA"/>
        </w:rPr>
        <w:footnoteReference w:id="26"/>
      </w:r>
      <w:r w:rsidR="008A5B4C" w:rsidRPr="00EC29CE">
        <w:rPr>
          <w:lang w:bidi="ar-SA"/>
        </w:rPr>
        <w:t xml:space="preserve"> (the most recent year for which data are available), up from 70 percent in 2015.</w:t>
      </w:r>
      <w:r w:rsidR="008A5B4C" w:rsidRPr="00EC29CE">
        <w:rPr>
          <w:rStyle w:val="FootnoteReference"/>
          <w:lang w:bidi="ar-SA"/>
        </w:rPr>
        <w:footnoteReference w:id="27"/>
      </w:r>
      <w:r w:rsidR="008A5B4C" w:rsidRPr="00EC29CE">
        <w:rPr>
          <w:lang w:bidi="ar-SA"/>
        </w:rPr>
        <w:t xml:space="preserve"> </w:t>
      </w:r>
    </w:p>
    <w:p w14:paraId="5F1D3A82" w14:textId="77777777" w:rsidR="008A5B4C" w:rsidRPr="00EC29CE" w:rsidRDefault="008A5B4C" w:rsidP="008A5B4C">
      <w:pPr>
        <w:rPr>
          <w:lang w:bidi="ar-SA"/>
        </w:rPr>
      </w:pPr>
      <w:r w:rsidRPr="00EC29CE">
        <w:rPr>
          <w:lang w:bidi="ar-SA"/>
        </w:rPr>
        <w:t xml:space="preserve">The problem is getting worse. </w:t>
      </w:r>
      <w:proofErr w:type="gramStart"/>
      <w:r>
        <w:rPr>
          <w:lang w:bidi="ar-SA"/>
        </w:rPr>
        <w:t xml:space="preserve">A 2025 study projects </w:t>
      </w:r>
      <w:r w:rsidRPr="00DA0A16">
        <w:rPr>
          <w:lang w:bidi="ar-SA"/>
        </w:rPr>
        <w:t>global livestock antibiotic use quantities</w:t>
      </w:r>
      <w:proofErr w:type="gramEnd"/>
      <w:r>
        <w:rPr>
          <w:lang w:bidi="ar-SA"/>
        </w:rPr>
        <w:t xml:space="preserve"> will increase by almost 30 percent by 2040 against a 2019 baseline following a business-as-usual scenario</w:t>
      </w:r>
      <w:r w:rsidRPr="00EC29CE">
        <w:rPr>
          <w:lang w:bidi="ar-SA"/>
        </w:rPr>
        <w:t>.</w:t>
      </w:r>
      <w:bookmarkStart w:id="5" w:name="_Ref100934742"/>
      <w:r w:rsidRPr="00EC29CE">
        <w:rPr>
          <w:rStyle w:val="FootnoteReference"/>
          <w:lang w:bidi="ar-SA"/>
        </w:rPr>
        <w:footnoteReference w:id="28"/>
      </w:r>
      <w:bookmarkEnd w:id="5"/>
    </w:p>
    <w:p w14:paraId="64EFA001" w14:textId="77777777" w:rsidR="001C6460" w:rsidRPr="00EC29CE" w:rsidRDefault="001C6460" w:rsidP="001C6460">
      <w:pPr>
        <w:rPr>
          <w:lang w:bidi="ar-SA"/>
        </w:rPr>
      </w:pPr>
      <w:r w:rsidRPr="00EC29CE">
        <w:rPr>
          <w:lang w:bidi="ar-SA"/>
        </w:rPr>
        <w:t>Economic impact estimates for AMR are stark, with a 2017 World Bank study projecting costs by the year 2050 of up to 3.8 percent of global GDP.</w:t>
      </w:r>
      <w:bookmarkStart w:id="6" w:name="_Ref98954777"/>
      <w:r w:rsidRPr="00EC29CE">
        <w:rPr>
          <w:vertAlign w:val="superscript"/>
          <w:lang w:bidi="ar-SA"/>
        </w:rPr>
        <w:footnoteReference w:id="29"/>
      </w:r>
      <w:bookmarkEnd w:id="6"/>
      <w:r w:rsidRPr="00EC29CE">
        <w:rPr>
          <w:lang w:bidi="ar-SA"/>
        </w:rPr>
        <w:t xml:space="preserve"> Notably, this is likely a significant underestimate.</w:t>
      </w:r>
      <w:r>
        <w:rPr>
          <w:lang w:bidi="ar-SA"/>
        </w:rPr>
        <w:t xml:space="preserve"> Several other credible studies project AMR could cost </w:t>
      </w:r>
      <w:r w:rsidRPr="00B75574">
        <w:rPr>
          <w:lang w:bidi="ar-SA"/>
        </w:rPr>
        <w:t>$100 trillion in lost global production by 2050</w:t>
      </w:r>
      <w:r>
        <w:rPr>
          <w:lang w:bidi="ar-SA"/>
        </w:rPr>
        <w:t>.</w:t>
      </w:r>
      <w:r>
        <w:rPr>
          <w:rStyle w:val="FootnoteReference"/>
          <w:lang w:bidi="ar-SA"/>
        </w:rPr>
        <w:footnoteReference w:id="30"/>
      </w:r>
    </w:p>
    <w:p w14:paraId="2D9C3655" w14:textId="1FBCC1A4" w:rsidR="00E83EFB" w:rsidRPr="00DA36E6" w:rsidRDefault="00092032" w:rsidP="00582A7E">
      <w:pPr>
        <w:pStyle w:val="Heading1"/>
      </w:pPr>
      <w:r w:rsidRPr="00DA36E6">
        <w:lastRenderedPageBreak/>
        <w:t>AMR</w:t>
      </w:r>
      <w:r w:rsidR="00E83EFB" w:rsidRPr="00DA36E6">
        <w:t xml:space="preserve"> threatens the returns of </w:t>
      </w:r>
      <w:r w:rsidRPr="00DA36E6">
        <w:t>McDonald’s</w:t>
      </w:r>
      <w:r w:rsidR="00E83EFB" w:rsidRPr="00DA36E6">
        <w:t xml:space="preserve"> diversified investors</w:t>
      </w:r>
    </w:p>
    <w:p w14:paraId="7805531D" w14:textId="77777777" w:rsidR="004B6714" w:rsidRPr="00DA36E6" w:rsidRDefault="004B6714" w:rsidP="000D7154">
      <w:pPr>
        <w:pStyle w:val="Heading2"/>
        <w:numPr>
          <w:ilvl w:val="0"/>
          <w:numId w:val="3"/>
        </w:numPr>
      </w:pPr>
      <w:r w:rsidRPr="00DA36E6">
        <w:t>Investors must diversify to optimize their portfolios</w:t>
      </w:r>
    </w:p>
    <w:p w14:paraId="17C24C74" w14:textId="543E5D8B" w:rsidR="004B6714" w:rsidRPr="00DA36E6" w:rsidRDefault="004B6714" w:rsidP="00FF74AC">
      <w:r w:rsidRPr="00DA36E6">
        <w:t>It is commonly understood that investors are best served by diversifying their portfolios.</w:t>
      </w:r>
      <w:bookmarkStart w:id="7" w:name="_Ref101176449"/>
      <w:r w:rsidRPr="00DA36E6">
        <w:rPr>
          <w:vertAlign w:val="superscript"/>
        </w:rPr>
        <w:footnoteReference w:id="31"/>
      </w:r>
      <w:bookmarkEnd w:id="7"/>
      <w:r w:rsidRPr="00DA36E6">
        <w:t xml:space="preserve"> Diversification allows investors to reap the increased returns available from risky securities while greatly reducing that risk.</w:t>
      </w:r>
      <w:r w:rsidRPr="00DA36E6">
        <w:rPr>
          <w:vertAlign w:val="superscript"/>
        </w:rPr>
        <w:footnoteReference w:id="32"/>
      </w:r>
      <w:r w:rsidRPr="00DA36E6">
        <w:t xml:space="preserve"> This core principle is reflected in federal law, which requires fiduciaries of federally regulated retirement plans to “</w:t>
      </w:r>
      <w:proofErr w:type="gramStart"/>
      <w:r w:rsidRPr="00DA36E6">
        <w:t>diversify[</w:t>
      </w:r>
      <w:proofErr w:type="gramEnd"/>
      <w:r w:rsidRPr="00DA36E6">
        <w:t>] the investments of the plan.”</w:t>
      </w:r>
      <w:r w:rsidRPr="00DA36E6">
        <w:rPr>
          <w:vertAlign w:val="superscript"/>
        </w:rPr>
        <w:footnoteReference w:id="33"/>
      </w:r>
      <w:r w:rsidRPr="00DA36E6">
        <w:t xml:space="preserve"> Similar principles govern other investment fiduciaries.</w:t>
      </w:r>
      <w:r w:rsidRPr="00DA36E6">
        <w:rPr>
          <w:vertAlign w:val="superscript"/>
        </w:rPr>
        <w:footnoteReference w:id="34"/>
      </w:r>
    </w:p>
    <w:p w14:paraId="13FBAABA" w14:textId="77777777" w:rsidR="004B6714" w:rsidRPr="00DA36E6" w:rsidRDefault="004B6714" w:rsidP="00FF74AC">
      <w:pPr>
        <w:pStyle w:val="Heading2"/>
      </w:pPr>
      <w:bookmarkStart w:id="8" w:name="_Toc90237218"/>
      <w:r w:rsidRPr="00DA36E6">
        <w:t>The performance of a diversified portfolio largely depends on overall market return</w:t>
      </w:r>
      <w:bookmarkEnd w:id="8"/>
      <w:r w:rsidRPr="00DA36E6">
        <w:t xml:space="preserve"> </w:t>
      </w:r>
    </w:p>
    <w:p w14:paraId="3EC7CF56" w14:textId="77777777" w:rsidR="006F60F2" w:rsidRDefault="004B6714" w:rsidP="00FF74AC">
      <w:r w:rsidRPr="00DA36E6">
        <w:t xml:space="preserve">Diversification is thus required by accepted investment theory and imposed by law on investment fiduciaries. Once a portfolio is diversified, the most important factor determining return will not be how the companies in that portfolio perform relative to other companies (“alpha”), but rather how the market </w:t>
      </w:r>
      <w:proofErr w:type="gramStart"/>
      <w:r w:rsidRPr="00DA36E6">
        <w:t>performs as a whole</w:t>
      </w:r>
      <w:proofErr w:type="gramEnd"/>
      <w:r w:rsidRPr="00DA36E6">
        <w:t xml:space="preserve"> (“beta”). In other words, the financial return to such diversified investors chiefly depends on the performance of the market, not the performance of individual companies. As one work describes this, </w:t>
      </w:r>
      <w:r w:rsidR="006F60F2">
        <w:t>“</w:t>
      </w:r>
      <w:r w:rsidR="006F60F2" w:rsidRPr="007F6185">
        <w:t>virtually all investors have permanent exposure to systematic market risk, which will still determine 75-95% of their return</w:t>
      </w:r>
      <w:r w:rsidR="006F60F2" w:rsidRPr="00EC29CE">
        <w:t>.”</w:t>
      </w:r>
      <w:bookmarkStart w:id="9" w:name="_Ref90133433"/>
      <w:r w:rsidR="006F60F2" w:rsidRPr="00EC29CE">
        <w:rPr>
          <w:rFonts w:eastAsia="Roboto" w:cs="Roboto"/>
          <w:color w:val="4C4C4C"/>
          <w:szCs w:val="24"/>
          <w:vertAlign w:val="superscript"/>
        </w:rPr>
        <w:footnoteReference w:id="35"/>
      </w:r>
      <w:bookmarkEnd w:id="9"/>
      <w:r w:rsidR="006F60F2" w:rsidRPr="00EC29CE">
        <w:t xml:space="preserve"> </w:t>
      </w:r>
    </w:p>
    <w:p w14:paraId="522899FD" w14:textId="22E17810" w:rsidR="004B6714" w:rsidRPr="00DA36E6" w:rsidRDefault="004B6714" w:rsidP="00FF74AC">
      <w:r w:rsidRPr="00DA36E6">
        <w:t xml:space="preserve">As shown in the next section, the social and environmental impacts of individual companies </w:t>
      </w:r>
      <w:r w:rsidR="00EB6ED2" w:rsidRPr="00DA36E6">
        <w:t xml:space="preserve">such as </w:t>
      </w:r>
      <w:r w:rsidR="00523A53" w:rsidRPr="00DA36E6">
        <w:t>McDonald’s</w:t>
      </w:r>
      <w:r w:rsidR="00EB6ED2" w:rsidRPr="00DA36E6">
        <w:t xml:space="preserve"> </w:t>
      </w:r>
      <w:r w:rsidRPr="00DA36E6">
        <w:t>can significant</w:t>
      </w:r>
      <w:r w:rsidR="00E7263A" w:rsidRPr="00DA36E6">
        <w:t>ly</w:t>
      </w:r>
      <w:r w:rsidRPr="00DA36E6">
        <w:t xml:space="preserve"> </w:t>
      </w:r>
      <w:r w:rsidR="00E7263A" w:rsidRPr="00DA36E6">
        <w:t>affect</w:t>
      </w:r>
      <w:r w:rsidRPr="00DA36E6">
        <w:t xml:space="preserve"> beta. </w:t>
      </w:r>
    </w:p>
    <w:p w14:paraId="7AA85107" w14:textId="77777777" w:rsidR="004B6714" w:rsidRPr="00DA36E6" w:rsidRDefault="004B6714" w:rsidP="00FF74AC">
      <w:pPr>
        <w:pStyle w:val="Heading2"/>
      </w:pPr>
      <w:r w:rsidRPr="00DA36E6">
        <w:t>Costs companies impose on social and environmental systems heavily influence beta</w:t>
      </w:r>
    </w:p>
    <w:p w14:paraId="26397CBF" w14:textId="77777777" w:rsidR="004B6714" w:rsidRPr="00DA36E6" w:rsidRDefault="004B6714" w:rsidP="00FF74AC">
      <w:r w:rsidRPr="00DA36E6">
        <w:t>Over long time periods, beta is influenced chiefly by the performance of the economy itself, because the value of the investable universe is equal to the portion of the productive economy that the companies in the market represent.</w:t>
      </w:r>
      <w:r w:rsidRPr="00DA36E6">
        <w:rPr>
          <w:vertAlign w:val="superscript"/>
        </w:rPr>
        <w:footnoteReference w:id="36"/>
      </w:r>
      <w:r w:rsidRPr="00DA36E6">
        <w:t xml:space="preserve"> Over the long run, diversified portfolios rise and fall with GDP or other indicators of the intrinsic value of the economy. As the legendary investor Warren Buffet puts it, GDP is the “best single measure” for broad market valuations.</w:t>
      </w:r>
      <w:bookmarkStart w:id="10" w:name="_Ref101176653"/>
      <w:r w:rsidRPr="00DA36E6">
        <w:rPr>
          <w:vertAlign w:val="superscript"/>
        </w:rPr>
        <w:footnoteReference w:id="37"/>
      </w:r>
      <w:bookmarkEnd w:id="10"/>
    </w:p>
    <w:p w14:paraId="50C68580" w14:textId="41CBD0FE" w:rsidR="00B37716" w:rsidRPr="00DA36E6" w:rsidRDefault="004B6714" w:rsidP="00201CA4">
      <w:r w:rsidRPr="00DA36E6">
        <w:lastRenderedPageBreak/>
        <w:t xml:space="preserve">But the social and environmental costs created by companies pursuing profits can burden the economy. </w:t>
      </w:r>
      <w:r w:rsidR="00F5379A" w:rsidRPr="00DA36E6">
        <w:t xml:space="preserve">As laid out in section B above, </w:t>
      </w:r>
      <w:r w:rsidR="00854915" w:rsidRPr="00DA36E6">
        <w:t>the economic cost estimates associated with AMR are staggering</w:t>
      </w:r>
      <w:r w:rsidR="00B37716" w:rsidRPr="00DA36E6">
        <w:t>. This drag on GDP directly reduces the return on a diversified portfolio over the long term</w:t>
      </w:r>
      <w:r w:rsidR="009D015C" w:rsidRPr="00DA36E6">
        <w:t>.</w:t>
      </w:r>
      <w:r w:rsidR="00B37716" w:rsidRPr="00DA36E6">
        <w:rPr>
          <w:vertAlign w:val="superscript"/>
        </w:rPr>
        <w:footnoteReference w:id="38"/>
      </w:r>
      <w:r w:rsidR="00B37716" w:rsidRPr="00DA36E6">
        <w:t xml:space="preserve"> </w:t>
      </w:r>
    </w:p>
    <w:p w14:paraId="1E691C34" w14:textId="77777777" w:rsidR="00C9576F" w:rsidRDefault="004B6714" w:rsidP="00FF74AC">
      <w:r w:rsidRPr="00DA36E6">
        <w:t xml:space="preserve">The acts of individual companies affect whether the economy will bear these costs: if they increase their own bottom line by contributing to </w:t>
      </w:r>
      <w:r w:rsidR="00B049A2" w:rsidRPr="00DA36E6">
        <w:t>AMR</w:t>
      </w:r>
      <w:r w:rsidRPr="00DA36E6">
        <w:t xml:space="preserve">, the profits earned </w:t>
      </w:r>
      <w:proofErr w:type="gramStart"/>
      <w:r w:rsidRPr="00DA36E6">
        <w:t>for</w:t>
      </w:r>
      <w:proofErr w:type="gramEnd"/>
      <w:r w:rsidR="00C12764" w:rsidRPr="00DA36E6">
        <w:t xml:space="preserve"> and capital returned to</w:t>
      </w:r>
      <w:r w:rsidRPr="00DA36E6">
        <w:t xml:space="preserve"> their shareholders may be inconsequential in comparison to the added costs the economy bears. </w:t>
      </w:r>
    </w:p>
    <w:p w14:paraId="3B09C655" w14:textId="7AFCE306" w:rsidR="004B6714" w:rsidRPr="00DA36E6" w:rsidRDefault="004B6714" w:rsidP="00FF74AC">
      <w:r w:rsidRPr="00DA36E6">
        <w:t xml:space="preserve">Economists have long recognized that profit-seeking firms will not account for costs they impose on others, and there are many profitable strategies that harm </w:t>
      </w:r>
      <w:r w:rsidR="00E470FB" w:rsidRPr="00DA36E6">
        <w:t>shareholders</w:t>
      </w:r>
      <w:r w:rsidRPr="00DA36E6">
        <w:t>, society, and the environment.</w:t>
      </w:r>
      <w:r w:rsidRPr="00DA36E6">
        <w:rPr>
          <w:vertAlign w:val="superscript"/>
        </w:rPr>
        <w:footnoteReference w:id="39"/>
      </w:r>
      <w:r w:rsidRPr="00DA36E6">
        <w:t xml:space="preserve"> Indeed, in 2018, publicly listed companies around the world imposed social and environmental costs on the economy with a value of $2.2 trillion annually—more than 2.5 percent of global GDP.</w:t>
      </w:r>
      <w:bookmarkStart w:id="11" w:name="_Ref97237578"/>
      <w:r w:rsidRPr="00DA36E6">
        <w:rPr>
          <w:vertAlign w:val="superscript"/>
        </w:rPr>
        <w:footnoteReference w:id="40"/>
      </w:r>
      <w:bookmarkEnd w:id="11"/>
      <w:r w:rsidRPr="00DA36E6">
        <w:rPr>
          <w:vertAlign w:val="superscript"/>
        </w:rPr>
        <w:t xml:space="preserve"> </w:t>
      </w:r>
      <w:r w:rsidRPr="00DA36E6">
        <w:t xml:space="preserve"> This cost was more than 50 percent of the profits those companies reported.</w:t>
      </w:r>
    </w:p>
    <w:p w14:paraId="16515325" w14:textId="6D635972" w:rsidR="00045005" w:rsidRPr="00DA36E6" w:rsidRDefault="00045005" w:rsidP="00FF74AC">
      <w:r w:rsidRPr="00DA36E6">
        <w:t>As shown</w:t>
      </w:r>
      <w:r w:rsidR="001C0CAB" w:rsidRPr="00DA36E6">
        <w:t xml:space="preserve"> below</w:t>
      </w:r>
      <w:r w:rsidRPr="00DA36E6">
        <w:t xml:space="preserve"> in Figure 1, </w:t>
      </w:r>
      <w:r w:rsidR="001709F8" w:rsidRPr="00DA36E6">
        <w:t>McDonald’s</w:t>
      </w:r>
      <w:r w:rsidRPr="00DA36E6">
        <w:t xml:space="preserve"> choices that </w:t>
      </w:r>
      <w:r w:rsidR="00D05B32" w:rsidRPr="00DA36E6">
        <w:t xml:space="preserve">contribute to </w:t>
      </w:r>
      <w:r w:rsidR="001709F8" w:rsidRPr="00DA36E6">
        <w:t>AMR</w:t>
      </w:r>
      <w:r w:rsidRPr="00DA36E6">
        <w:t xml:space="preserve"> threaten its diversified shareholders’ financial returns, even if those decisions might benefit </w:t>
      </w:r>
      <w:r w:rsidR="001709F8" w:rsidRPr="00DA36E6">
        <w:t>McDonald’s</w:t>
      </w:r>
      <w:r w:rsidRPr="00DA36E6">
        <w:t xml:space="preserve"> financially. </w:t>
      </w:r>
    </w:p>
    <w:p w14:paraId="29AF4E58" w14:textId="0E9AD6B4" w:rsidR="00A3106B" w:rsidRPr="00DA36E6" w:rsidRDefault="006E2B3B" w:rsidP="00FF74AC">
      <w:r>
        <w:rPr>
          <w:noProof/>
        </w:rPr>
        <w:drawing>
          <wp:inline distT="0" distB="0" distL="0" distR="0" wp14:anchorId="652B6B3D" wp14:editId="4DBDF7AC">
            <wp:extent cx="5942736" cy="2230734"/>
            <wp:effectExtent l="0" t="0" r="1270" b="5080"/>
            <wp:docPr id="85136631" name="Picture 1" descr="A diagram of a market impa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6631" name="Picture 1" descr="A diagram of a market impact&#10;&#10;Description automatically generated"/>
                    <pic:cNvPicPr/>
                  </pic:nvPicPr>
                  <pic:blipFill rotWithShape="1">
                    <a:blip r:embed="rId11">
                      <a:extLst>
                        <a:ext uri="{28A0092B-C50C-407E-A947-70E740481C1C}">
                          <a14:useLocalDpi xmlns:a14="http://schemas.microsoft.com/office/drawing/2010/main" val="0"/>
                        </a:ext>
                      </a:extLst>
                    </a:blip>
                    <a:srcRect t="23669" b="26282"/>
                    <a:stretch/>
                  </pic:blipFill>
                  <pic:spPr bwMode="auto">
                    <a:xfrm>
                      <a:off x="0" y="0"/>
                      <a:ext cx="5943600" cy="2231058"/>
                    </a:xfrm>
                    <a:prstGeom prst="rect">
                      <a:avLst/>
                    </a:prstGeom>
                    <a:ln>
                      <a:noFill/>
                    </a:ln>
                    <a:extLst>
                      <a:ext uri="{53640926-AAD7-44D8-BBD7-CCE9431645EC}">
                        <a14:shadowObscured xmlns:a14="http://schemas.microsoft.com/office/drawing/2010/main"/>
                      </a:ext>
                    </a:extLst>
                  </pic:spPr>
                </pic:pic>
              </a:graphicData>
            </a:graphic>
          </wp:inline>
        </w:drawing>
      </w:r>
    </w:p>
    <w:p w14:paraId="48EF7C05" w14:textId="50780A0D" w:rsidR="00045005" w:rsidRPr="00DA36E6" w:rsidRDefault="00A3106B" w:rsidP="009C2055">
      <w:pPr>
        <w:pStyle w:val="Caption"/>
        <w:jc w:val="center"/>
        <w:rPr>
          <w:b/>
        </w:rPr>
      </w:pPr>
      <w:r w:rsidRPr="00DA36E6">
        <w:t xml:space="preserve">Figure </w:t>
      </w:r>
      <w:r>
        <w:fldChar w:fldCharType="begin"/>
      </w:r>
      <w:r>
        <w:instrText>SEQ Figure \* ARABIC</w:instrText>
      </w:r>
      <w:r>
        <w:fldChar w:fldCharType="separate"/>
      </w:r>
      <w:r w:rsidRPr="00DA36E6">
        <w:t>1</w:t>
      </w:r>
      <w:r>
        <w:fldChar w:fldCharType="end"/>
      </w:r>
    </w:p>
    <w:p w14:paraId="044024E8" w14:textId="4A171243" w:rsidR="00903172" w:rsidRPr="00EC29CE" w:rsidRDefault="00903172" w:rsidP="00903172">
      <w:r>
        <w:t>McDonald’s disclosures do not address the broad health and economic costs of AMR to its diversified shareholders.</w:t>
      </w:r>
    </w:p>
    <w:p w14:paraId="359898AC" w14:textId="5EF94CF8" w:rsidR="00EA6F17" w:rsidRPr="00DA36E6" w:rsidRDefault="00EA6F17" w:rsidP="00EA6F17">
      <w:pPr>
        <w:pStyle w:val="Heading1"/>
        <w:rPr>
          <w:lang w:bidi="en-US"/>
        </w:rPr>
      </w:pPr>
      <w:r w:rsidRPr="00DA36E6">
        <w:rPr>
          <w:lang w:bidi="en-US"/>
        </w:rPr>
        <w:lastRenderedPageBreak/>
        <w:t>Why you should vote “</w:t>
      </w:r>
      <w:r w:rsidR="00E20B43">
        <w:rPr>
          <w:lang w:bidi="en-US"/>
        </w:rPr>
        <w:t>AGAINST</w:t>
      </w:r>
      <w:r w:rsidRPr="00DA36E6">
        <w:rPr>
          <w:lang w:bidi="en-US"/>
        </w:rPr>
        <w:t xml:space="preserve">” the </w:t>
      </w:r>
      <w:r w:rsidR="00E20B43">
        <w:rPr>
          <w:lang w:bidi="en-US"/>
        </w:rPr>
        <w:t>Board Chair</w:t>
      </w:r>
    </w:p>
    <w:p w14:paraId="3A25CC43" w14:textId="229D417D" w:rsidR="00EA6F17" w:rsidRPr="00DA36E6" w:rsidRDefault="00EA6F17" w:rsidP="1A33055F">
      <w:pPr>
        <w:rPr>
          <w:b/>
          <w:bCs/>
        </w:rPr>
      </w:pPr>
      <w:r w:rsidRPr="1A33055F">
        <w:rPr>
          <w:b/>
          <w:bCs/>
        </w:rPr>
        <w:t>Voting “</w:t>
      </w:r>
      <w:r w:rsidR="00E20B43" w:rsidRPr="1A33055F">
        <w:rPr>
          <w:b/>
          <w:bCs/>
        </w:rPr>
        <w:t>AGAINST</w:t>
      </w:r>
      <w:r w:rsidRPr="1A33055F">
        <w:rPr>
          <w:b/>
          <w:bCs/>
        </w:rPr>
        <w:t xml:space="preserve">” the </w:t>
      </w:r>
      <w:r w:rsidR="00E20B43" w:rsidRPr="1A33055F">
        <w:rPr>
          <w:b/>
          <w:bCs/>
        </w:rPr>
        <w:t>Board Chair</w:t>
      </w:r>
      <w:r w:rsidRPr="1A33055F">
        <w:rPr>
          <w:b/>
          <w:bCs/>
        </w:rPr>
        <w:t xml:space="preserve"> will signal to McDonald’s that shareholders </w:t>
      </w:r>
      <w:r w:rsidR="6B663A1F" w:rsidRPr="1A33055F">
        <w:rPr>
          <w:b/>
          <w:bCs/>
        </w:rPr>
        <w:t xml:space="preserve">do not </w:t>
      </w:r>
      <w:r w:rsidRPr="1A33055F">
        <w:rPr>
          <w:b/>
          <w:bCs/>
        </w:rPr>
        <w:t xml:space="preserve">want </w:t>
      </w:r>
      <w:r w:rsidR="00625FE0" w:rsidRPr="1A33055F">
        <w:rPr>
          <w:b/>
          <w:bCs/>
        </w:rPr>
        <w:t xml:space="preserve">the Company </w:t>
      </w:r>
      <w:r w:rsidR="00C4393C" w:rsidRPr="1A33055F">
        <w:rPr>
          <w:b/>
          <w:bCs/>
        </w:rPr>
        <w:t>to put</w:t>
      </w:r>
      <w:r w:rsidRPr="1A33055F">
        <w:rPr>
          <w:b/>
          <w:bCs/>
        </w:rPr>
        <w:t xml:space="preserve"> public health (and thus their diversified portfolios) at risk. </w:t>
      </w:r>
    </w:p>
    <w:p w14:paraId="5719EEA5" w14:textId="77777777" w:rsidR="00EA6F17" w:rsidRPr="00DA36E6" w:rsidRDefault="00EA6F17" w:rsidP="00EA6F17">
      <w:pPr>
        <w:rPr>
          <w:b/>
          <w:bCs/>
          <w:iCs/>
        </w:rPr>
      </w:pPr>
      <w:r w:rsidRPr="00DA36E6">
        <w:rPr>
          <w:b/>
          <w:bCs/>
          <w:iCs/>
        </w:rPr>
        <w:t>Additionally:</w:t>
      </w:r>
    </w:p>
    <w:p w14:paraId="18E514A6" w14:textId="014601FD" w:rsidR="00EA6F17" w:rsidRPr="00DA36E6" w:rsidRDefault="00212D8A" w:rsidP="000D7154">
      <w:pPr>
        <w:numPr>
          <w:ilvl w:val="0"/>
          <w:numId w:val="1"/>
        </w:numPr>
        <w:spacing w:line="276" w:lineRule="auto"/>
        <w:rPr>
          <w:b/>
          <w:bCs/>
          <w:iCs/>
        </w:rPr>
      </w:pPr>
      <w:r w:rsidRPr="00DA36E6">
        <w:rPr>
          <w:iCs/>
        </w:rPr>
        <w:t>McDonald’s</w:t>
      </w:r>
      <w:r w:rsidR="00EA6F17" w:rsidRPr="00DA36E6">
        <w:rPr>
          <w:iCs/>
        </w:rPr>
        <w:t xml:space="preserve"> business contributes to </w:t>
      </w:r>
      <w:r w:rsidRPr="00DA36E6">
        <w:rPr>
          <w:iCs/>
        </w:rPr>
        <w:t>AMR</w:t>
      </w:r>
      <w:r w:rsidR="00EA6F17" w:rsidRPr="00DA36E6">
        <w:rPr>
          <w:iCs/>
        </w:rPr>
        <w:t>, and thus t</w:t>
      </w:r>
      <w:r w:rsidRPr="00DA36E6">
        <w:rPr>
          <w:iCs/>
        </w:rPr>
        <w:t>o</w:t>
      </w:r>
      <w:r w:rsidR="00EA6F17" w:rsidRPr="00DA36E6">
        <w:rPr>
          <w:iCs/>
        </w:rPr>
        <w:t xml:space="preserve"> </w:t>
      </w:r>
      <w:r w:rsidRPr="00DA36E6">
        <w:rPr>
          <w:iCs/>
        </w:rPr>
        <w:t>declining public health</w:t>
      </w:r>
      <w:r w:rsidR="00EA6F17" w:rsidRPr="00DA36E6">
        <w:rPr>
          <w:iCs/>
        </w:rPr>
        <w:t>, which create</w:t>
      </w:r>
      <w:r w:rsidRPr="00DA36E6">
        <w:rPr>
          <w:iCs/>
        </w:rPr>
        <w:t>s</w:t>
      </w:r>
      <w:r w:rsidR="00EA6F17" w:rsidRPr="00DA36E6">
        <w:rPr>
          <w:iCs/>
        </w:rPr>
        <w:t xml:space="preserve"> an economy-wide risk that</w:t>
      </w:r>
      <w:r w:rsidR="00EA6F17" w:rsidRPr="00DA36E6">
        <w:rPr>
          <w:b/>
          <w:bCs/>
          <w:iCs/>
        </w:rPr>
        <w:t xml:space="preserve"> </w:t>
      </w:r>
      <w:r w:rsidR="00EA6F17" w:rsidRPr="00DA36E6">
        <w:rPr>
          <w:b/>
          <w:bCs/>
          <w:iCs/>
          <w:u w:val="single"/>
        </w:rPr>
        <w:t>poses a threat to diversified shareholders</w:t>
      </w:r>
      <w:r w:rsidR="00EA6F17" w:rsidRPr="00DA36E6">
        <w:rPr>
          <w:b/>
          <w:bCs/>
          <w:iCs/>
        </w:rPr>
        <w:t>.</w:t>
      </w:r>
    </w:p>
    <w:p w14:paraId="2755DC94" w14:textId="1A7DE0DC" w:rsidR="00EA6F17" w:rsidRPr="00DA36E6" w:rsidRDefault="007825D3" w:rsidP="000D7154">
      <w:pPr>
        <w:numPr>
          <w:ilvl w:val="0"/>
          <w:numId w:val="1"/>
        </w:numPr>
        <w:spacing w:line="276" w:lineRule="auto"/>
        <w:rPr>
          <w:b/>
          <w:bCs/>
          <w:iCs/>
        </w:rPr>
      </w:pPr>
      <w:r w:rsidRPr="00DA36E6">
        <w:rPr>
          <w:iCs/>
        </w:rPr>
        <w:t>McDonald’s</w:t>
      </w:r>
      <w:r w:rsidR="00EA6F17" w:rsidRPr="00DA36E6">
        <w:rPr>
          <w:iCs/>
        </w:rPr>
        <w:t xml:space="preserve"> disclosures show that it is </w:t>
      </w:r>
      <w:r w:rsidR="00EA6F17" w:rsidRPr="00DA36E6">
        <w:rPr>
          <w:b/>
          <w:bCs/>
          <w:iCs/>
          <w:u w:val="single"/>
        </w:rPr>
        <w:t xml:space="preserve">not taking </w:t>
      </w:r>
      <w:r w:rsidR="00EF3FB3" w:rsidRPr="79220896">
        <w:rPr>
          <w:b/>
          <w:bCs/>
          <w:u w:val="single"/>
        </w:rPr>
        <w:t>expert-recommended actions for corporations seeking to be part of the solution to AMR</w:t>
      </w:r>
      <w:r w:rsidR="00EA6F17" w:rsidRPr="00DA36E6">
        <w:rPr>
          <w:iCs/>
        </w:rPr>
        <w:t xml:space="preserve">. </w:t>
      </w:r>
    </w:p>
    <w:p w14:paraId="23FBDD0E" w14:textId="0A197C11" w:rsidR="00EA6F17" w:rsidRPr="00DA36E6" w:rsidRDefault="007825D3" w:rsidP="000D7154">
      <w:pPr>
        <w:numPr>
          <w:ilvl w:val="0"/>
          <w:numId w:val="1"/>
        </w:numPr>
        <w:spacing w:line="276" w:lineRule="auto"/>
        <w:rPr>
          <w:iCs/>
        </w:rPr>
      </w:pPr>
      <w:r w:rsidRPr="00DA36E6">
        <w:rPr>
          <w:iCs/>
        </w:rPr>
        <w:t>McDonald’s</w:t>
      </w:r>
      <w:r w:rsidR="00EA6F17" w:rsidRPr="00DA36E6">
        <w:rPr>
          <w:iCs/>
        </w:rPr>
        <w:t xml:space="preserve"> decision-makers</w:t>
      </w:r>
      <w:r w:rsidR="003445BE">
        <w:rPr>
          <w:iCs/>
        </w:rPr>
        <w:t xml:space="preserve"> in general and Mr. </w:t>
      </w:r>
      <w:proofErr w:type="spellStart"/>
      <w:r w:rsidR="003445BE">
        <w:rPr>
          <w:iCs/>
        </w:rPr>
        <w:t>Kempczinski</w:t>
      </w:r>
      <w:proofErr w:type="spellEnd"/>
      <w:r w:rsidR="003445BE">
        <w:rPr>
          <w:iCs/>
        </w:rPr>
        <w:t xml:space="preserve"> specifically</w:t>
      </w:r>
      <w:r w:rsidR="00EA6F17" w:rsidRPr="00DA36E6">
        <w:rPr>
          <w:iCs/>
        </w:rPr>
        <w:t>—who are heavily compensated in equity—</w:t>
      </w:r>
      <w:r w:rsidR="00EA6F17" w:rsidRPr="00DA36E6">
        <w:rPr>
          <w:b/>
          <w:bCs/>
          <w:iCs/>
          <w:u w:val="single"/>
        </w:rPr>
        <w:t>do not share the same broad market risk</w:t>
      </w:r>
      <w:r w:rsidR="00EA6F17" w:rsidRPr="00DA36E6">
        <w:rPr>
          <w:iCs/>
        </w:rPr>
        <w:t xml:space="preserve"> as </w:t>
      </w:r>
      <w:r w:rsidRPr="00DA36E6">
        <w:rPr>
          <w:iCs/>
        </w:rPr>
        <w:t>McDonald’s</w:t>
      </w:r>
      <w:r w:rsidR="00EA6F17" w:rsidRPr="00DA36E6">
        <w:rPr>
          <w:iCs/>
        </w:rPr>
        <w:t xml:space="preserve"> diversified shareholders.</w:t>
      </w:r>
    </w:p>
    <w:p w14:paraId="51297AFD" w14:textId="6A77C052" w:rsidR="00CC44B5" w:rsidRPr="00DA36E6" w:rsidRDefault="0044075E" w:rsidP="00582A7E">
      <w:pPr>
        <w:pStyle w:val="Heading1"/>
      </w:pPr>
      <w:r w:rsidRPr="00DA36E6">
        <w:t>Conclusion</w:t>
      </w:r>
    </w:p>
    <w:p w14:paraId="0F19F551" w14:textId="1EECA29E" w:rsidR="0044075E" w:rsidRPr="00DA36E6" w:rsidRDefault="00F3070B" w:rsidP="00FF74AC">
      <w:r w:rsidRPr="00DA36E6">
        <w:t xml:space="preserve">Please vote </w:t>
      </w:r>
      <w:r w:rsidR="00DC69F0" w:rsidRPr="00DA36E6">
        <w:rPr>
          <w:b/>
          <w:bCs/>
        </w:rPr>
        <w:t>“</w:t>
      </w:r>
      <w:r w:rsidR="00E76333">
        <w:rPr>
          <w:b/>
          <w:bCs/>
        </w:rPr>
        <w:t>AGAINST</w:t>
      </w:r>
      <w:r w:rsidR="00DC69F0" w:rsidRPr="00DA36E6">
        <w:rPr>
          <w:b/>
          <w:bCs/>
        </w:rPr>
        <w:t>”</w:t>
      </w:r>
      <w:r w:rsidRPr="00DA36E6">
        <w:t xml:space="preserve"> </w:t>
      </w:r>
      <w:r w:rsidR="00E76333" w:rsidRPr="00AD76DC">
        <w:t xml:space="preserve">Chris </w:t>
      </w:r>
      <w:proofErr w:type="spellStart"/>
      <w:r w:rsidR="00E76333" w:rsidRPr="00AD76DC">
        <w:t>Kempczinski</w:t>
      </w:r>
      <w:proofErr w:type="spellEnd"/>
      <w:r w:rsidR="00E76333">
        <w:t xml:space="preserve">, </w:t>
      </w:r>
      <w:r w:rsidR="00A03F5E">
        <w:t>Board Chair (Item 1g).</w:t>
      </w:r>
    </w:p>
    <w:p w14:paraId="5C4979FF" w14:textId="0CCC65EC" w:rsidR="003449BF" w:rsidRPr="00DA36E6" w:rsidRDefault="00F855F2" w:rsidP="00FF74AC">
      <w:r w:rsidRPr="00DA36E6">
        <w:t xml:space="preserve">By voting </w:t>
      </w:r>
      <w:r w:rsidR="009516EE" w:rsidRPr="00DA36E6">
        <w:rPr>
          <w:b/>
          <w:bCs/>
        </w:rPr>
        <w:t>“</w:t>
      </w:r>
      <w:r w:rsidR="00A03F5E">
        <w:rPr>
          <w:b/>
          <w:bCs/>
        </w:rPr>
        <w:t>AGAINST</w:t>
      </w:r>
      <w:r w:rsidR="009516EE" w:rsidRPr="00DA36E6">
        <w:rPr>
          <w:b/>
          <w:bCs/>
        </w:rPr>
        <w:t>”</w:t>
      </w:r>
      <w:r w:rsidRPr="00DA36E6">
        <w:t xml:space="preserve"> </w:t>
      </w:r>
      <w:r w:rsidR="00A03F5E">
        <w:t>Mr.</w:t>
      </w:r>
      <w:r w:rsidR="00A03F5E" w:rsidRPr="00AD76DC">
        <w:t xml:space="preserve"> </w:t>
      </w:r>
      <w:proofErr w:type="spellStart"/>
      <w:r w:rsidR="00A03F5E" w:rsidRPr="00AD76DC">
        <w:t>Kempczinski</w:t>
      </w:r>
      <w:proofErr w:type="spellEnd"/>
      <w:r w:rsidRPr="00DA36E6">
        <w:t xml:space="preserve">, shareholders can urge </w:t>
      </w:r>
      <w:r w:rsidR="007825D3" w:rsidRPr="00DA36E6">
        <w:t>McDonald’s</w:t>
      </w:r>
      <w:r w:rsidR="000F73B0" w:rsidRPr="00DA36E6">
        <w:t xml:space="preserve"> </w:t>
      </w:r>
      <w:r w:rsidRPr="00DA36E6">
        <w:t>t</w:t>
      </w:r>
      <w:r w:rsidR="00600F1D" w:rsidRPr="00DA36E6">
        <w:t xml:space="preserve">o </w:t>
      </w:r>
      <w:r w:rsidR="555FE465" w:rsidRPr="00DA36E6">
        <w:t xml:space="preserve">account </w:t>
      </w:r>
      <w:r w:rsidR="000750D0" w:rsidRPr="00DA36E6">
        <w:t xml:space="preserve">directly </w:t>
      </w:r>
      <w:r w:rsidR="00CA25AD" w:rsidRPr="00DA36E6">
        <w:t xml:space="preserve">for its contribution to AMR and the resulting costs to public health and society, which in turn affect the economic health upon which diversified portfolios depend. Compliance with </w:t>
      </w:r>
      <w:r w:rsidR="003544DB">
        <w:t>the WHO Guidelines</w:t>
      </w:r>
      <w:r w:rsidR="00CA25AD" w:rsidRPr="00DA36E6">
        <w:t xml:space="preserve"> can aid the Board and management in authentically serving the needs of McDonald’s diversified shareholders and in preventing the dangerous implications—to diversified shareholders and others—of a narrow focus on internal financial return.</w:t>
      </w:r>
    </w:p>
    <w:p w14:paraId="1EC82069" w14:textId="677AAF93" w:rsidR="00D0253F" w:rsidRPr="00DA36E6" w:rsidRDefault="00FC681E" w:rsidP="00FF74AC">
      <w:r w:rsidRPr="00DA36E6">
        <w:t>The Shareholder Commons</w:t>
      </w:r>
      <w:r w:rsidR="00333D2E" w:rsidRPr="00DA36E6">
        <w:t xml:space="preserve"> urges you to vote </w:t>
      </w:r>
      <w:r w:rsidR="00373E20" w:rsidRPr="00DA36E6">
        <w:rPr>
          <w:b/>
          <w:bCs/>
        </w:rPr>
        <w:t>“</w:t>
      </w:r>
      <w:r w:rsidR="00B64EA3">
        <w:rPr>
          <w:b/>
          <w:bCs/>
        </w:rPr>
        <w:t>AGAINST</w:t>
      </w:r>
      <w:r w:rsidR="00373E20" w:rsidRPr="00DA36E6">
        <w:rPr>
          <w:b/>
          <w:bCs/>
        </w:rPr>
        <w:t>”</w:t>
      </w:r>
      <w:r w:rsidR="00333D2E" w:rsidRPr="00DA36E6">
        <w:t xml:space="preserve"> </w:t>
      </w:r>
      <w:r w:rsidR="00F86076" w:rsidRPr="00AD76DC">
        <w:t xml:space="preserve">Chris </w:t>
      </w:r>
      <w:proofErr w:type="spellStart"/>
      <w:r w:rsidR="00F86076" w:rsidRPr="00AD76DC">
        <w:t>Kempczinski</w:t>
      </w:r>
      <w:proofErr w:type="spellEnd"/>
      <w:r w:rsidR="00F86076">
        <w:t>, Board Chair (Item 1g on the proxy)</w:t>
      </w:r>
      <w:r w:rsidR="00333D2E" w:rsidRPr="00DA36E6">
        <w:t xml:space="preserve">, </w:t>
      </w:r>
      <w:r w:rsidR="00D321F6">
        <w:t>over McDonald’s failure to comply with the WHO Guidelines,</w:t>
      </w:r>
      <w:r w:rsidR="005B7B97" w:rsidRPr="00DA36E6">
        <w:t xml:space="preserve"> </w:t>
      </w:r>
      <w:r w:rsidR="00333D2E" w:rsidRPr="00DA36E6">
        <w:t xml:space="preserve">at the </w:t>
      </w:r>
      <w:r w:rsidR="00F84CC6" w:rsidRPr="00DA36E6">
        <w:t>McDonald’s Corporation</w:t>
      </w:r>
      <w:r w:rsidR="002F7A1F" w:rsidRPr="00DA36E6">
        <w:t xml:space="preserve"> </w:t>
      </w:r>
      <w:r w:rsidR="00333D2E" w:rsidRPr="00DA36E6">
        <w:t>Annual Meeting on</w:t>
      </w:r>
      <w:r w:rsidR="00692C17" w:rsidRPr="00DA36E6">
        <w:t xml:space="preserve"> </w:t>
      </w:r>
      <w:r w:rsidR="002F7A1F" w:rsidRPr="00DA36E6">
        <w:t xml:space="preserve">May </w:t>
      </w:r>
      <w:r w:rsidR="00C64271" w:rsidRPr="00DA36E6">
        <w:t>2</w:t>
      </w:r>
      <w:r w:rsidR="00D321F6">
        <w:t>0</w:t>
      </w:r>
      <w:r w:rsidR="006E2D54" w:rsidRPr="00DA36E6">
        <w:t>, 202</w:t>
      </w:r>
      <w:r w:rsidR="00D321F6">
        <w:t>5</w:t>
      </w:r>
      <w:r w:rsidR="00333D2E" w:rsidRPr="00DA36E6">
        <w:t>.</w:t>
      </w:r>
      <w:r w:rsidR="000952AD" w:rsidRPr="00DA36E6">
        <w:t> </w:t>
      </w:r>
    </w:p>
    <w:p w14:paraId="78A2ADB2" w14:textId="014422C1" w:rsidR="00D0253F" w:rsidRPr="00DA36E6" w:rsidRDefault="00D0253F" w:rsidP="00FF74AC">
      <w:pPr>
        <w:rPr>
          <w:i/>
          <w:iCs/>
          <w:sz w:val="24"/>
          <w:szCs w:val="24"/>
        </w:rPr>
      </w:pPr>
      <w:r w:rsidRPr="00DA36E6">
        <w:rPr>
          <w:i/>
          <w:iCs/>
        </w:rPr>
        <w:t>For questions regarding</w:t>
      </w:r>
      <w:r w:rsidR="00F23A8A" w:rsidRPr="00DA36E6">
        <w:rPr>
          <w:i/>
          <w:iCs/>
        </w:rPr>
        <w:t xml:space="preserve"> </w:t>
      </w:r>
      <w:r w:rsidR="00D321F6">
        <w:rPr>
          <w:i/>
          <w:iCs/>
        </w:rPr>
        <w:t>this exempt solicitation</w:t>
      </w:r>
      <w:r w:rsidR="00AE3E92" w:rsidRPr="00DA36E6">
        <w:rPr>
          <w:i/>
          <w:iCs/>
        </w:rPr>
        <w:t>,</w:t>
      </w:r>
      <w:r w:rsidRPr="00DA36E6">
        <w:rPr>
          <w:i/>
          <w:iCs/>
        </w:rPr>
        <w:t xml:space="preserve"> please contact </w:t>
      </w:r>
      <w:r w:rsidR="00E85F6F" w:rsidRPr="00EC29CE">
        <w:rPr>
          <w:i/>
          <w:iCs/>
        </w:rPr>
        <w:t>Sara E. Murphy of</w:t>
      </w:r>
      <w:r w:rsidR="00E85F6F" w:rsidRPr="00EC29CE">
        <w:rPr>
          <w:i/>
          <w:iCs/>
          <w:sz w:val="24"/>
          <w:szCs w:val="24"/>
        </w:rPr>
        <w:t xml:space="preserve"> The Shareholder Commons at +1.202.578.0261 or via email at sara@theshareholdercommons.com</w:t>
      </w:r>
      <w:r w:rsidRPr="00DA36E6">
        <w:rPr>
          <w:i/>
          <w:iCs/>
          <w:sz w:val="24"/>
          <w:szCs w:val="24"/>
        </w:rPr>
        <w:t xml:space="preserve">. </w:t>
      </w:r>
    </w:p>
    <w:p w14:paraId="69A6DFB7" w14:textId="60E586A4" w:rsidR="000952AD" w:rsidRPr="00DA36E6" w:rsidRDefault="000952AD" w:rsidP="00F36749">
      <w:pPr>
        <w:jc w:val="center"/>
        <w:rPr>
          <w:b/>
          <w:bCs/>
        </w:rPr>
      </w:pPr>
      <w:r w:rsidRPr="00DA36E6">
        <w:rPr>
          <w:b/>
          <w:bCs/>
        </w:rPr>
        <w:t>THE FOREGOING INFORMATION MAY BE DISSEMINATED TO SHAREHOLDERS VIA TELEPHONE, U.S. MAIL, E-MAIL, CERTAIN WEBSITES, AND CERTAIN SOCIAL MEDIA VENUES, AND SHOULD NOT BE CONSTRUED AS INVESTMENT ADVICE OR AS A SOLICITATION OF AUTHORITY TO VOTE YOUR PROXY.</w:t>
      </w:r>
    </w:p>
    <w:p w14:paraId="529859D2" w14:textId="6F172227" w:rsidR="00F04730" w:rsidRPr="00DA36E6" w:rsidRDefault="000952AD" w:rsidP="00F36749">
      <w:pPr>
        <w:jc w:val="center"/>
        <w:rPr>
          <w:b/>
          <w:bCs/>
        </w:rPr>
      </w:pPr>
      <w:r w:rsidRPr="00DA36E6">
        <w:rPr>
          <w:b/>
          <w:bCs/>
        </w:rPr>
        <w:t>PROXY CARDS WILL NOT BE ACCEPTED BY FILER</w:t>
      </w:r>
      <w:r w:rsidR="00D0253F" w:rsidRPr="00DA36E6">
        <w:rPr>
          <w:b/>
          <w:bCs/>
        </w:rPr>
        <w:t xml:space="preserve"> NOR BY THE SHAREHOLDER COMMONS</w:t>
      </w:r>
      <w:r w:rsidRPr="00DA36E6">
        <w:rPr>
          <w:b/>
          <w:bCs/>
        </w:rPr>
        <w:t xml:space="preserve">. </w:t>
      </w:r>
      <w:r w:rsidRPr="00DA36E6">
        <w:rPr>
          <w:b/>
          <w:bCs/>
        </w:rPr>
        <w:br/>
        <w:t>TO VOTE YOUR PROXY, PLEASE FOLLOW THE INSTRUCTIONS ON YOUR PROXY CARD.</w:t>
      </w:r>
    </w:p>
    <w:sectPr w:rsidR="00F04730" w:rsidRPr="00DA36E6" w:rsidSect="00A45FE6">
      <w:headerReference w:type="default" r:id="rId12"/>
      <w:footerReference w:type="even"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0C864" w14:textId="77777777" w:rsidR="00A77500" w:rsidRDefault="00A77500" w:rsidP="00FF74AC">
      <w:r>
        <w:separator/>
      </w:r>
    </w:p>
  </w:endnote>
  <w:endnote w:type="continuationSeparator" w:id="0">
    <w:p w14:paraId="4E22BC9E" w14:textId="77777777" w:rsidR="00A77500" w:rsidRDefault="00A77500" w:rsidP="00FF74AC">
      <w:r>
        <w:continuationSeparator/>
      </w:r>
    </w:p>
  </w:endnote>
  <w:endnote w:type="continuationNotice" w:id="1">
    <w:p w14:paraId="281D1551" w14:textId="77777777" w:rsidR="00A77500" w:rsidRDefault="00A77500" w:rsidP="00FF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Roboto">
    <w:altName w:val="﷽﷽﷽﷽﷽﷽﷽﷽8B}"/>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CenMT-Regular">
    <w:altName w:val="Tw Cen MT"/>
    <w:panose1 w:val="020B0604020202020204"/>
    <w:charset w:val="00"/>
    <w:family w:val="auto"/>
    <w:pitch w:val="default"/>
  </w:font>
  <w:font w:name="Times New Roman (Headings CS)">
    <w:altName w:val="Times New Roman"/>
    <w:panose1 w:val="020B0604020202020204"/>
    <w:charset w:val="00"/>
    <w:family w:val="roman"/>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F3E1" w14:textId="31F8BABF" w:rsidR="006047D0" w:rsidRDefault="006047D0" w:rsidP="00FF74A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49BE7602" w14:textId="77777777" w:rsidR="006047D0" w:rsidRDefault="006047D0" w:rsidP="00FF7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7876105"/>
      <w:docPartObj>
        <w:docPartGallery w:val="Page Numbers (Bottom of Page)"/>
        <w:docPartUnique/>
      </w:docPartObj>
    </w:sdtPr>
    <w:sdtEndPr>
      <w:rPr>
        <w:rStyle w:val="PageNumber"/>
      </w:rPr>
    </w:sdtEndPr>
    <w:sdtContent>
      <w:p w14:paraId="728B8487" w14:textId="0D90A0DF" w:rsidR="006047D0" w:rsidRDefault="006047D0" w:rsidP="009C409D">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D1C9A">
          <w:rPr>
            <w:rStyle w:val="PageNumber"/>
            <w:noProof/>
          </w:rPr>
          <w:t>6</w:t>
        </w:r>
        <w:r>
          <w:rPr>
            <w:rStyle w:val="PageNumber"/>
          </w:rPr>
          <w:fldChar w:fldCharType="end"/>
        </w:r>
      </w:p>
    </w:sdtContent>
  </w:sdt>
  <w:p w14:paraId="6DC63C69" w14:textId="77777777" w:rsidR="006047D0" w:rsidRDefault="006047D0" w:rsidP="00FF7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17EC" w14:textId="479354CC" w:rsidR="006047D0" w:rsidRPr="007F5D3A" w:rsidRDefault="006047D0" w:rsidP="00FF74AC">
    <w:pPr>
      <w:rPr>
        <w:sz w:val="24"/>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B231" w14:textId="77777777" w:rsidR="00A77500" w:rsidRDefault="00A77500" w:rsidP="00FF74AC">
      <w:r>
        <w:separator/>
      </w:r>
    </w:p>
  </w:footnote>
  <w:footnote w:type="continuationSeparator" w:id="0">
    <w:p w14:paraId="4DF6A141" w14:textId="77777777" w:rsidR="00A77500" w:rsidRDefault="00A77500" w:rsidP="00FF74AC">
      <w:r>
        <w:continuationSeparator/>
      </w:r>
    </w:p>
  </w:footnote>
  <w:footnote w:type="continuationNotice" w:id="1">
    <w:p w14:paraId="39609F3E" w14:textId="77777777" w:rsidR="00A77500" w:rsidRDefault="00A77500" w:rsidP="00FF74AC"/>
  </w:footnote>
  <w:footnote w:id="2">
    <w:p w14:paraId="79679AD3" w14:textId="77777777" w:rsidR="008A0E5F" w:rsidRPr="00082680" w:rsidRDefault="008A0E5F" w:rsidP="008A0E5F">
      <w:pPr>
        <w:pStyle w:val="FootnoteText"/>
      </w:pPr>
      <w:r>
        <w:rPr>
          <w:rStyle w:val="FootnoteReference"/>
        </w:rPr>
        <w:footnoteRef/>
      </w:r>
      <w:r w:rsidRPr="00082680">
        <w:t xml:space="preserve"> </w:t>
      </w:r>
      <w:r>
        <w:rPr>
          <w:color w:val="000000"/>
        </w:rPr>
        <w:t xml:space="preserve">World Health Organization, “WHO Guidelines on Use of Medically Important Antimicrobials in Food-Producing Animals” (Geneva, 2017), </w:t>
      </w:r>
      <w:hyperlink r:id="rId1" w:history="1">
        <w:r w:rsidRPr="005E3F3A">
          <w:rPr>
            <w:rStyle w:val="Hyperlink"/>
          </w:rPr>
          <w:t>https://www.who.int/publications-detail-redirect/9789241550130</w:t>
        </w:r>
      </w:hyperlink>
      <w:r>
        <w:rPr>
          <w:color w:val="000000"/>
        </w:rPr>
        <w:t xml:space="preserve">. </w:t>
      </w:r>
    </w:p>
  </w:footnote>
  <w:footnote w:id="3">
    <w:p w14:paraId="2388506E" w14:textId="2830C5A7" w:rsidR="004A1209" w:rsidRPr="00B74022" w:rsidRDefault="004A1209" w:rsidP="004A1209">
      <w:pPr>
        <w:pStyle w:val="FootnoteText"/>
      </w:pPr>
      <w:r>
        <w:rPr>
          <w:rStyle w:val="FootnoteReference"/>
        </w:rPr>
        <w:footnoteRef/>
      </w:r>
      <w:r>
        <w:t xml:space="preserve"> </w:t>
      </w:r>
      <w:r w:rsidRPr="00A30E52">
        <w:t>“Removing the Blindfold on Antimicrobial Resistance,” </w:t>
      </w:r>
      <w:r w:rsidRPr="00A30E52">
        <w:rPr>
          <w:i/>
          <w:iCs/>
        </w:rPr>
        <w:t>Open Access Government</w:t>
      </w:r>
      <w:r w:rsidRPr="00A30E52">
        <w:t xml:space="preserve"> (blog), March 16, 2022, </w:t>
      </w:r>
      <w:hyperlink r:id="rId2" w:history="1">
        <w:r w:rsidR="00B9286B" w:rsidRPr="00BA14C0">
          <w:rPr>
            <w:rStyle w:val="Hyperlink"/>
          </w:rPr>
          <w:t>https://www.openaccessgovernment.org/removing-blindfold-antimicrobial-resistance/131783/</w:t>
        </w:r>
      </w:hyperlink>
      <w:r w:rsidRPr="00A30E52">
        <w:t>.</w:t>
      </w:r>
      <w:r>
        <w:t xml:space="preserve"> </w:t>
      </w:r>
    </w:p>
  </w:footnote>
  <w:footnote w:id="4">
    <w:p w14:paraId="3F823E8A" w14:textId="77777777" w:rsidR="004A1209" w:rsidRDefault="004A1209" w:rsidP="004A1209">
      <w:pPr>
        <w:pStyle w:val="FootnoteText"/>
      </w:pPr>
      <w:r>
        <w:rPr>
          <w:rStyle w:val="FootnoteReference"/>
        </w:rPr>
        <w:footnoteRef/>
      </w:r>
      <w:r>
        <w:t xml:space="preserve"> </w:t>
      </w:r>
      <w:r w:rsidRPr="00426867">
        <w:t xml:space="preserve">FAIRR, “Feeding Resistance: Antimicrobial Stewardship in the Animal Health Industry,” July 2021, </w:t>
      </w:r>
      <w:hyperlink r:id="rId3" w:anchor="report" w:history="1">
        <w:r w:rsidRPr="00D1436D">
          <w:rPr>
            <w:rStyle w:val="Hyperlink"/>
          </w:rPr>
          <w:t>https://www.fairr.org/research/animal-pharma/#report</w:t>
        </w:r>
      </w:hyperlink>
      <w:r w:rsidRPr="00426867">
        <w:t>.</w:t>
      </w:r>
      <w:r>
        <w:t xml:space="preserve"> </w:t>
      </w:r>
    </w:p>
  </w:footnote>
  <w:footnote w:id="5">
    <w:p w14:paraId="5BFB93DD" w14:textId="77777777" w:rsidR="00A37DAC" w:rsidRDefault="00A37DAC" w:rsidP="00A37DAC">
      <w:pPr>
        <w:pStyle w:val="FootnoteText"/>
      </w:pPr>
      <w:r>
        <w:rPr>
          <w:rStyle w:val="FootnoteReference"/>
        </w:rPr>
        <w:footnoteRef/>
      </w:r>
      <w:r>
        <w:t xml:space="preserve"> </w:t>
      </w:r>
      <w:r>
        <w:rPr>
          <w:color w:val="000000"/>
        </w:rPr>
        <w:t xml:space="preserve">The Shareholder Commons, “Antimicrobial Resistance &amp; the Engagement Gap: Why Investors Must Do More than Move the Needle, and How They Can,” September 2022, </w:t>
      </w:r>
      <w:hyperlink r:id="rId4" w:anchor="amr" w:history="1">
        <w:r w:rsidRPr="00D1436D">
          <w:rPr>
            <w:rStyle w:val="Hyperlink"/>
          </w:rPr>
          <w:t>https://theshareholdercommons.com/amr-climate-change-case-studies/#amr</w:t>
        </w:r>
      </w:hyperlink>
      <w:r>
        <w:rPr>
          <w:color w:val="000000"/>
        </w:rPr>
        <w:t xml:space="preserve">. </w:t>
      </w:r>
    </w:p>
  </w:footnote>
  <w:footnote w:id="6">
    <w:p w14:paraId="5D647B39" w14:textId="0F3FD527" w:rsidR="00A37DAC" w:rsidRPr="00777252" w:rsidRDefault="00A37DAC" w:rsidP="00A37DAC">
      <w:pPr>
        <w:pStyle w:val="FootnoteText"/>
      </w:pPr>
      <w:r>
        <w:rPr>
          <w:rStyle w:val="FootnoteReference"/>
        </w:rPr>
        <w:footnoteRef/>
      </w:r>
      <w:r>
        <w:t xml:space="preserve"> </w:t>
      </w:r>
      <w:r w:rsidR="00777252">
        <w:rPr>
          <w:color w:val="000000"/>
        </w:rPr>
        <w:t>The Shareholder Commons, “AMR &amp; the Engagement Gap.”</w:t>
      </w:r>
    </w:p>
  </w:footnote>
  <w:footnote w:id="7">
    <w:p w14:paraId="72D80FCC" w14:textId="77777777" w:rsidR="00A37DAC" w:rsidRDefault="00A37DAC" w:rsidP="00A37DAC">
      <w:pPr>
        <w:pStyle w:val="FootnoteText"/>
      </w:pPr>
      <w:r>
        <w:rPr>
          <w:rStyle w:val="FootnoteReference"/>
        </w:rPr>
        <w:footnoteRef/>
      </w:r>
      <w:r>
        <w:t xml:space="preserve"> </w:t>
      </w:r>
      <w:r w:rsidRPr="006026E4">
        <w:t>Henry B. Skinner, “We’re Already Ignoring the next Pandemic,” </w:t>
      </w:r>
      <w:r w:rsidRPr="006026E4">
        <w:rPr>
          <w:i/>
          <w:iCs/>
        </w:rPr>
        <w:t>Harvard Public Health Magazine</w:t>
      </w:r>
      <w:r w:rsidRPr="006026E4">
        <w:t xml:space="preserve">, June 7, 2022, </w:t>
      </w:r>
      <w:hyperlink r:id="rId5" w:history="1">
        <w:r w:rsidRPr="00D1436D">
          <w:rPr>
            <w:rStyle w:val="Hyperlink"/>
          </w:rPr>
          <w:t>https://harvardpublichealth.org/were-already-ignoring-the-next-pandemic/</w:t>
        </w:r>
      </w:hyperlink>
      <w:r w:rsidRPr="006026E4">
        <w:t>.</w:t>
      </w:r>
      <w:r>
        <w:t xml:space="preserve"> </w:t>
      </w:r>
    </w:p>
  </w:footnote>
  <w:footnote w:id="8">
    <w:p w14:paraId="65E2F9FF" w14:textId="1A0D8D9D" w:rsidR="00A37DAC" w:rsidRDefault="00A37DAC" w:rsidP="00A37DAC">
      <w:pPr>
        <w:pStyle w:val="FootnoteText"/>
      </w:pPr>
      <w:r>
        <w:rPr>
          <w:rStyle w:val="FootnoteReference"/>
        </w:rPr>
        <w:footnoteRef/>
      </w:r>
      <w:r>
        <w:t xml:space="preserve"> </w:t>
      </w:r>
      <w:r w:rsidR="005571B6">
        <w:rPr>
          <w:color w:val="000000"/>
        </w:rPr>
        <w:t xml:space="preserve">Richard Mattison, Mark </w:t>
      </w:r>
      <w:proofErr w:type="spellStart"/>
      <w:r w:rsidR="005571B6">
        <w:rPr>
          <w:color w:val="000000"/>
        </w:rPr>
        <w:t>Trevitt</w:t>
      </w:r>
      <w:proofErr w:type="spellEnd"/>
      <w:r w:rsidR="005571B6">
        <w:rPr>
          <w:color w:val="000000"/>
        </w:rPr>
        <w:t xml:space="preserve">, and Liesl van Ast, “Universal Ownership: Why Environmental Externalities Matter to Institutional Investors” (UNEP Finance Initiative and PRI, October 6, 2010), </w:t>
      </w:r>
      <w:hyperlink r:id="rId6" w:history="1">
        <w:r w:rsidR="005571B6" w:rsidRPr="002C3C64">
          <w:rPr>
            <w:rStyle w:val="Hyperlink"/>
          </w:rPr>
          <w:t>https://www.unepfi.org/fileadmin/documents/universal_ownership_full.pdf</w:t>
        </w:r>
      </w:hyperlink>
      <w:r w:rsidR="005571B6">
        <w:rPr>
          <w:color w:val="000000"/>
        </w:rPr>
        <w:t xml:space="preserve">. </w:t>
      </w:r>
    </w:p>
  </w:footnote>
  <w:footnote w:id="9">
    <w:p w14:paraId="2FBC24F9" w14:textId="5A19C39E" w:rsidR="005A5877" w:rsidRDefault="005A5877" w:rsidP="005A5877">
      <w:pPr>
        <w:pStyle w:val="FootnoteText"/>
      </w:pPr>
      <w:r>
        <w:rPr>
          <w:rStyle w:val="FootnoteReference"/>
        </w:rPr>
        <w:footnoteRef/>
      </w:r>
      <w:r>
        <w:t xml:space="preserve"> </w:t>
      </w:r>
      <w:hyperlink r:id="rId7" w:history="1">
        <w:r w:rsidR="00023765" w:rsidRPr="00BA14C0">
          <w:rPr>
            <w:rStyle w:val="Hyperlink"/>
          </w:rPr>
          <w:t>https://amrinvestoraction.org/about</w:t>
        </w:r>
      </w:hyperlink>
      <w:r w:rsidR="00023765">
        <w:t xml:space="preserve"> </w:t>
      </w:r>
    </w:p>
  </w:footnote>
  <w:footnote w:id="10">
    <w:p w14:paraId="24EE1E2D" w14:textId="77777777" w:rsidR="00EC0C35" w:rsidRDefault="00EC0C35" w:rsidP="00EC0C35">
      <w:pPr>
        <w:pStyle w:val="FootnoteText"/>
      </w:pPr>
      <w:r>
        <w:rPr>
          <w:rStyle w:val="FootnoteReference"/>
        </w:rPr>
        <w:footnoteRef/>
      </w:r>
      <w:r>
        <w:t xml:space="preserve"> </w:t>
      </w:r>
      <w:r>
        <w:rPr>
          <w:color w:val="000000"/>
        </w:rPr>
        <w:t xml:space="preserve">Maria Larsson </w:t>
      </w:r>
      <w:proofErr w:type="spellStart"/>
      <w:r>
        <w:rPr>
          <w:color w:val="000000"/>
        </w:rPr>
        <w:t>Ortino</w:t>
      </w:r>
      <w:proofErr w:type="spellEnd"/>
      <w:r>
        <w:rPr>
          <w:color w:val="000000"/>
        </w:rPr>
        <w:t xml:space="preserve"> and Naomi </w:t>
      </w:r>
      <w:proofErr w:type="spellStart"/>
      <w:r>
        <w:rPr>
          <w:color w:val="000000"/>
        </w:rPr>
        <w:t>Kroloff</w:t>
      </w:r>
      <w:proofErr w:type="spellEnd"/>
      <w:r>
        <w:rPr>
          <w:color w:val="000000"/>
        </w:rPr>
        <w:t>, “Antimicrobial Resistance Could Be the next Pandemic – Here’s What We’re Doing about It,”</w:t>
      </w:r>
      <w:r>
        <w:rPr>
          <w:rStyle w:val="apple-converted-space"/>
          <w:color w:val="000000"/>
        </w:rPr>
        <w:t> </w:t>
      </w:r>
      <w:r>
        <w:rPr>
          <w:i/>
          <w:iCs/>
          <w:color w:val="000000"/>
        </w:rPr>
        <w:t>Legal &amp; General</w:t>
      </w:r>
      <w:r>
        <w:rPr>
          <w:rStyle w:val="apple-converted-space"/>
          <w:color w:val="000000"/>
        </w:rPr>
        <w:t> </w:t>
      </w:r>
      <w:r>
        <w:rPr>
          <w:color w:val="000000"/>
        </w:rPr>
        <w:t xml:space="preserve">(blog), May 21, 2024, </w:t>
      </w:r>
      <w:hyperlink r:id="rId8" w:history="1">
        <w:r w:rsidRPr="00F334C1">
          <w:rPr>
            <w:rStyle w:val="Hyperlink"/>
          </w:rPr>
          <w:t>https://blog.landg.com/categories/esg-and-long-term-themes/antimicrobial-resistance-could-be-the-next-pandemic--heres-what-were-doing-about-it2/</w:t>
        </w:r>
      </w:hyperlink>
      <w:r>
        <w:rPr>
          <w:color w:val="000000"/>
        </w:rPr>
        <w:t>.</w:t>
      </w:r>
      <w:r>
        <w:t xml:space="preserve"> (citations omitted)</w:t>
      </w:r>
    </w:p>
  </w:footnote>
  <w:footnote w:id="11">
    <w:p w14:paraId="75194206" w14:textId="77777777" w:rsidR="0021193E" w:rsidRDefault="0021193E" w:rsidP="0021193E">
      <w:pPr>
        <w:pStyle w:val="FootnoteText"/>
      </w:pPr>
      <w:r>
        <w:rPr>
          <w:rStyle w:val="FootnoteReference"/>
        </w:rPr>
        <w:footnoteRef/>
      </w:r>
      <w:r>
        <w:t xml:space="preserve"> </w:t>
      </w:r>
      <w:r>
        <w:rPr>
          <w:color w:val="000000"/>
        </w:rPr>
        <w:t xml:space="preserve">World Health Organization, “WHO Guidelines on Use of Medically Important Antimicrobials in Food-Producing Animals: Policy Brief,” November 2017, </w:t>
      </w:r>
      <w:hyperlink r:id="rId9" w:history="1">
        <w:r w:rsidRPr="00F334C1">
          <w:rPr>
            <w:rStyle w:val="Hyperlink"/>
          </w:rPr>
          <w:t>https://iris.who.int/bitstream/handle/10665/259243/WHO-NMH-FOS-FZD-17.5-eng.pdf?sequence=1</w:t>
        </w:r>
      </w:hyperlink>
      <w:r>
        <w:rPr>
          <w:color w:val="000000"/>
        </w:rPr>
        <w:t xml:space="preserve">. </w:t>
      </w:r>
    </w:p>
  </w:footnote>
  <w:footnote w:id="12">
    <w:p w14:paraId="6506DCDC" w14:textId="77777777" w:rsidR="0021193E" w:rsidRPr="002A76D9" w:rsidRDefault="0021193E" w:rsidP="0021193E">
      <w:pPr>
        <w:pStyle w:val="FootnoteText"/>
      </w:pPr>
      <w:r>
        <w:rPr>
          <w:rStyle w:val="FootnoteReference"/>
        </w:rPr>
        <w:footnoteRef/>
      </w:r>
      <w:r>
        <w:t xml:space="preserve"> </w:t>
      </w:r>
      <w:r>
        <w:rPr>
          <w:color w:val="000000"/>
        </w:rPr>
        <w:t>World Health Organization, “WHO Guidelines on Use of Medically Important Antimicrobials in Food-Producing Animals: Policy Brief.”</w:t>
      </w:r>
      <w:r>
        <w:rPr>
          <w:i/>
          <w:iCs/>
        </w:rPr>
        <w:t xml:space="preserve"> </w:t>
      </w:r>
      <w:r>
        <w:t>(citations omitted)</w:t>
      </w:r>
    </w:p>
  </w:footnote>
  <w:footnote w:id="13">
    <w:p w14:paraId="6FFF2BC8" w14:textId="589D2CBF" w:rsidR="00FB58A2" w:rsidRDefault="00FB58A2">
      <w:pPr>
        <w:pStyle w:val="FootnoteText"/>
      </w:pPr>
      <w:r>
        <w:rPr>
          <w:rStyle w:val="FootnoteReference"/>
        </w:rPr>
        <w:footnoteRef/>
      </w:r>
      <w:r>
        <w:t xml:space="preserve"> </w:t>
      </w:r>
      <w:hyperlink r:id="rId10" w:history="1">
        <w:r w:rsidRPr="002C3C64">
          <w:rPr>
            <w:rStyle w:val="Hyperlink"/>
          </w:rPr>
          <w:t>https://www.sec.gov/ix?doc=/Archives/edgar/data/0000063908/000155837024004818/mcd-20240522xdef14a.htm</w:t>
        </w:r>
      </w:hyperlink>
      <w:r>
        <w:t xml:space="preserve"> </w:t>
      </w:r>
    </w:p>
  </w:footnote>
  <w:footnote w:id="14">
    <w:p w14:paraId="364303D8" w14:textId="0BAAAA7C" w:rsidR="00A3274B" w:rsidRDefault="00A3274B">
      <w:pPr>
        <w:pStyle w:val="FootnoteText"/>
      </w:pPr>
      <w:r>
        <w:rPr>
          <w:rStyle w:val="FootnoteReference"/>
        </w:rPr>
        <w:footnoteRef/>
      </w:r>
      <w:r>
        <w:t xml:space="preserve"> </w:t>
      </w:r>
      <w:r w:rsidR="00664587">
        <w:rPr>
          <w:color w:val="000000"/>
        </w:rPr>
        <w:t>World Health Organization, “WHO Guidelines.”</w:t>
      </w:r>
    </w:p>
  </w:footnote>
  <w:footnote w:id="15">
    <w:p w14:paraId="67C0F72C" w14:textId="6B7F636C" w:rsidR="00AF402B" w:rsidRDefault="00AF402B">
      <w:pPr>
        <w:pStyle w:val="FootnoteText"/>
      </w:pPr>
      <w:r>
        <w:rPr>
          <w:rStyle w:val="FootnoteReference"/>
        </w:rPr>
        <w:footnoteRef/>
      </w:r>
      <w:r>
        <w:rPr>
          <w:rStyle w:val="FootnoteReference"/>
        </w:rPr>
        <w:footnoteRef/>
      </w:r>
      <w:r>
        <w:t xml:space="preserve"> </w:t>
      </w:r>
      <w:r>
        <w:rPr>
          <w:color w:val="000000"/>
        </w:rPr>
        <w:t xml:space="preserve">McDonald’s, “Responsible Antibiotic Use,” accessed April 16, 2025, </w:t>
      </w:r>
      <w:hyperlink r:id="rId11" w:history="1">
        <w:r w:rsidRPr="002C3C64">
          <w:rPr>
            <w:rStyle w:val="Hyperlink"/>
          </w:rPr>
          <w:t>https://www.mcdonalds.com/corpmcd/our-purpose-and-impact/food-quality-and-sourcing/responsible-antibiotic-use.html</w:t>
        </w:r>
      </w:hyperlink>
      <w:r>
        <w:rPr>
          <w:color w:val="000000"/>
        </w:rPr>
        <w:t xml:space="preserve">. </w:t>
      </w:r>
    </w:p>
  </w:footnote>
  <w:footnote w:id="16">
    <w:p w14:paraId="1679EB88" w14:textId="5ED5D784" w:rsidR="0046615F" w:rsidRPr="0046615F" w:rsidRDefault="0046615F">
      <w:pPr>
        <w:pStyle w:val="FootnoteText"/>
        <w:rPr>
          <w:lang w:val="fr-FR"/>
        </w:rPr>
      </w:pPr>
      <w:r>
        <w:rPr>
          <w:rStyle w:val="FootnoteReference"/>
        </w:rPr>
        <w:footnoteRef/>
      </w:r>
      <w:r>
        <w:t xml:space="preserve"> </w:t>
      </w:r>
      <w:r>
        <w:rPr>
          <w:color w:val="000000"/>
        </w:rPr>
        <w:t xml:space="preserve">Ben Stockton and Andrew Wasley, “McDonald’s and Walmart Beef Suppliers </w:t>
      </w:r>
      <w:proofErr w:type="spellStart"/>
      <w:r>
        <w:rPr>
          <w:color w:val="000000"/>
        </w:rPr>
        <w:t>Criticised</w:t>
      </w:r>
      <w:proofErr w:type="spellEnd"/>
      <w:r>
        <w:rPr>
          <w:color w:val="000000"/>
        </w:rPr>
        <w:t xml:space="preserve"> for ‘Reckless’ Antibiotics Use,”</w:t>
      </w:r>
      <w:r>
        <w:rPr>
          <w:rStyle w:val="apple-converted-space"/>
          <w:color w:val="000000"/>
        </w:rPr>
        <w:t> </w:t>
      </w:r>
      <w:r>
        <w:rPr>
          <w:i/>
          <w:iCs/>
          <w:color w:val="000000"/>
        </w:rPr>
        <w:t>The Guardian</w:t>
      </w:r>
      <w:r>
        <w:rPr>
          <w:color w:val="000000"/>
        </w:rPr>
        <w:t xml:space="preserve">, November 21, 2022, sec. </w:t>
      </w:r>
      <w:proofErr w:type="spellStart"/>
      <w:r w:rsidRPr="0046615F">
        <w:rPr>
          <w:color w:val="000000"/>
          <w:lang w:val="fr-FR"/>
        </w:rPr>
        <w:t>Environment</w:t>
      </w:r>
      <w:proofErr w:type="spellEnd"/>
      <w:r w:rsidRPr="0046615F">
        <w:rPr>
          <w:color w:val="000000"/>
          <w:lang w:val="fr-FR"/>
        </w:rPr>
        <w:t xml:space="preserve">, </w:t>
      </w:r>
      <w:hyperlink r:id="rId12" w:history="1">
        <w:r w:rsidR="00EC648E" w:rsidRPr="008539C3">
          <w:rPr>
            <w:rStyle w:val="Hyperlink"/>
            <w:lang w:val="fr-FR"/>
          </w:rPr>
          <w:t>https://www.theguardian.com/global/2022/nov/21/mcdonalds-and-walmart-beef-suppliers-put-public-health-at-risk-with-reckless-antibiotics-use</w:t>
        </w:r>
      </w:hyperlink>
      <w:r w:rsidRPr="0046615F">
        <w:rPr>
          <w:color w:val="000000"/>
          <w:lang w:val="fr-FR"/>
        </w:rPr>
        <w:t>.</w:t>
      </w:r>
    </w:p>
  </w:footnote>
  <w:footnote w:id="17">
    <w:p w14:paraId="769162E9" w14:textId="19D82DCB" w:rsidR="00AF22EB" w:rsidRDefault="00AF22EB">
      <w:pPr>
        <w:pStyle w:val="FootnoteText"/>
      </w:pPr>
      <w:r>
        <w:rPr>
          <w:rStyle w:val="FootnoteReference"/>
        </w:rPr>
        <w:footnoteRef/>
      </w:r>
      <w:r>
        <w:t xml:space="preserve"> </w:t>
      </w:r>
      <w:r w:rsidR="00C5186F">
        <w:rPr>
          <w:color w:val="000000"/>
        </w:rPr>
        <w:t>Andrew Wasley and Marlowe Starling, “Cargill Cows Contaminated with Vital Antibiotics,”</w:t>
      </w:r>
      <w:r w:rsidR="00C5186F">
        <w:rPr>
          <w:rStyle w:val="apple-converted-space"/>
          <w:color w:val="000000"/>
        </w:rPr>
        <w:t> </w:t>
      </w:r>
      <w:r w:rsidR="00C5186F">
        <w:rPr>
          <w:i/>
          <w:iCs/>
          <w:color w:val="000000"/>
        </w:rPr>
        <w:t>The Bureau of Investigative Journalism (TBIJ)</w:t>
      </w:r>
      <w:r w:rsidR="00C5186F">
        <w:rPr>
          <w:color w:val="000000"/>
        </w:rPr>
        <w:t xml:space="preserve">, September 27, 2024, </w:t>
      </w:r>
      <w:hyperlink r:id="rId13" w:history="1">
        <w:r w:rsidR="00C5186F" w:rsidRPr="002C3C64">
          <w:rPr>
            <w:rStyle w:val="Hyperlink"/>
          </w:rPr>
          <w:t>https://www.thebureauinvestigates.com/stories/2024-09-27/cargill-cows-contaminated-with-vital-antibiotics</w:t>
        </w:r>
      </w:hyperlink>
      <w:r w:rsidR="00C5186F">
        <w:rPr>
          <w:color w:val="000000"/>
        </w:rPr>
        <w:t xml:space="preserve">. </w:t>
      </w:r>
    </w:p>
  </w:footnote>
  <w:footnote w:id="18">
    <w:p w14:paraId="3A45B9EC" w14:textId="77777777" w:rsidR="00A81F10" w:rsidRPr="00EE1CAF" w:rsidRDefault="00A81F10" w:rsidP="00A81F10">
      <w:pPr>
        <w:pStyle w:val="FootnoteText"/>
      </w:pPr>
      <w:r>
        <w:rPr>
          <w:rStyle w:val="FootnoteReference"/>
        </w:rPr>
        <w:footnoteRef/>
      </w:r>
      <w:r>
        <w:t xml:space="preserve"> </w:t>
      </w:r>
      <w:r w:rsidRPr="006C648D">
        <w:t>Susannah Savage et al., “Superbugs on the Shelves: Diseased Chicken Being Sold across America,” </w:t>
      </w:r>
      <w:r w:rsidRPr="006C648D">
        <w:rPr>
          <w:i/>
          <w:iCs/>
        </w:rPr>
        <w:t>The Bureau of Investigative Journalism in Partnership with Vice News</w:t>
      </w:r>
      <w:r w:rsidRPr="006C648D">
        <w:t xml:space="preserve">, March 16, 2022, </w:t>
      </w:r>
      <w:hyperlink r:id="rId14" w:history="1">
        <w:r w:rsidRPr="00D1436D">
          <w:rPr>
            <w:rStyle w:val="Hyperlink"/>
          </w:rPr>
          <w:t>https://www.thebureauinvestigates.com/stories/2022-03-16/superbugs-on-the-shelves-diseased-chicken-being-sold-across-america</w:t>
        </w:r>
      </w:hyperlink>
      <w:r w:rsidRPr="006C648D">
        <w:t>.</w:t>
      </w:r>
      <w:r>
        <w:t xml:space="preserve"> </w:t>
      </w:r>
    </w:p>
  </w:footnote>
  <w:footnote w:id="19">
    <w:p w14:paraId="4966246C" w14:textId="55F95B0A" w:rsidR="0069548A" w:rsidRDefault="0069548A" w:rsidP="0069548A">
      <w:pPr>
        <w:pStyle w:val="FootnoteText"/>
      </w:pPr>
      <w:r>
        <w:rPr>
          <w:rStyle w:val="FootnoteReference"/>
        </w:rPr>
        <w:footnoteRef/>
      </w:r>
      <w:r>
        <w:t xml:space="preserve"> </w:t>
      </w:r>
      <w:hyperlink r:id="rId15" w:history="1">
        <w:r w:rsidR="00886F5D" w:rsidRPr="00307D62">
          <w:rPr>
            <w:rStyle w:val="Hyperlink"/>
          </w:rPr>
          <w:t>https://corporate.mcdonalds.com/corpmcd/our-stories/article/beef_antibiotics.html</w:t>
        </w:r>
      </w:hyperlink>
      <w:r w:rsidR="00886F5D">
        <w:t xml:space="preserve"> </w:t>
      </w:r>
    </w:p>
  </w:footnote>
  <w:footnote w:id="20">
    <w:p w14:paraId="6E901B1F" w14:textId="77777777" w:rsidR="0069548A" w:rsidRDefault="0069548A" w:rsidP="0069548A">
      <w:pPr>
        <w:pStyle w:val="FootnoteText"/>
      </w:pPr>
      <w:r>
        <w:rPr>
          <w:rStyle w:val="FootnoteReference"/>
        </w:rPr>
        <w:footnoteRef/>
      </w:r>
      <w:r>
        <w:t xml:space="preserve"> Steve Roach et al., “Chain Reaction VI: How Top Restaurants Rate on Reducing Antibiotic Use in Their Beef Supply Chains,” Center for Food Safety (July 2021), available at </w:t>
      </w:r>
      <w:hyperlink r:id="rId16" w:history="1">
        <w:r w:rsidRPr="00950186">
          <w:rPr>
            <w:rStyle w:val="Hyperlink"/>
          </w:rPr>
          <w:t>https://www.nrdc.org/sites/default/files/chain-reaction-vi-restaurants-antibiotic-use-2021-report.pdf</w:t>
        </w:r>
      </w:hyperlink>
      <w:r>
        <w:t xml:space="preserve">. </w:t>
      </w:r>
    </w:p>
  </w:footnote>
  <w:footnote w:id="21">
    <w:p w14:paraId="296D76F0" w14:textId="40F18344" w:rsidR="0069548A" w:rsidRDefault="0069548A" w:rsidP="0069548A">
      <w:pPr>
        <w:pStyle w:val="FootnoteText"/>
      </w:pPr>
      <w:r>
        <w:rPr>
          <w:rStyle w:val="FootnoteReference"/>
        </w:rPr>
        <w:footnoteRef/>
      </w:r>
      <w:r>
        <w:t xml:space="preserve"> </w:t>
      </w:r>
      <w:r w:rsidR="00824D45">
        <w:rPr>
          <w:color w:val="000000"/>
        </w:rPr>
        <w:t>McDonald’s, “Responsible Antibiotic Use.”</w:t>
      </w:r>
    </w:p>
  </w:footnote>
  <w:footnote w:id="22">
    <w:p w14:paraId="6778A6A2" w14:textId="77777777" w:rsidR="0069548A" w:rsidRDefault="0069548A" w:rsidP="0069548A">
      <w:pPr>
        <w:pStyle w:val="FootnoteText"/>
      </w:pPr>
      <w:r>
        <w:rPr>
          <w:rStyle w:val="FootnoteReference"/>
        </w:rPr>
        <w:footnoteRef/>
      </w:r>
      <w:r>
        <w:t xml:space="preserve"> </w:t>
      </w:r>
      <w:r>
        <w:rPr>
          <w:color w:val="000000"/>
        </w:rPr>
        <w:t>Rachel Oatman, “McDonald’s Updates Antibiotics Policy,”</w:t>
      </w:r>
      <w:r>
        <w:rPr>
          <w:rStyle w:val="apple-converted-space"/>
          <w:color w:val="000000"/>
        </w:rPr>
        <w:t> </w:t>
      </w:r>
      <w:r>
        <w:rPr>
          <w:i/>
          <w:iCs/>
          <w:color w:val="000000"/>
        </w:rPr>
        <w:t>MEAT+POULTRY</w:t>
      </w:r>
      <w:r>
        <w:rPr>
          <w:color w:val="000000"/>
        </w:rPr>
        <w:t xml:space="preserve">, December 30, 2023, </w:t>
      </w:r>
      <w:hyperlink r:id="rId17" w:history="1">
        <w:r w:rsidRPr="00307D62">
          <w:rPr>
            <w:rStyle w:val="Hyperlink"/>
          </w:rPr>
          <w:t>https://www.meatpoultry.com/articles/27807-mcdonalds-updates-antibiotics-policy</w:t>
        </w:r>
      </w:hyperlink>
      <w:r>
        <w:rPr>
          <w:color w:val="000000"/>
        </w:rPr>
        <w:t xml:space="preserve">. </w:t>
      </w:r>
    </w:p>
  </w:footnote>
  <w:footnote w:id="23">
    <w:p w14:paraId="760163F9" w14:textId="6C148EB8" w:rsidR="005A39A2" w:rsidRDefault="005A39A2">
      <w:pPr>
        <w:pStyle w:val="FootnoteText"/>
      </w:pPr>
      <w:r>
        <w:rPr>
          <w:rStyle w:val="FootnoteReference"/>
        </w:rPr>
        <w:footnoteRef/>
      </w:r>
      <w:r>
        <w:t xml:space="preserve"> </w:t>
      </w:r>
      <w:r w:rsidR="00632725">
        <w:rPr>
          <w:color w:val="000000"/>
        </w:rPr>
        <w:t>McDonald’s, “Responsible Antibiotic Use.”</w:t>
      </w:r>
    </w:p>
  </w:footnote>
  <w:footnote w:id="24">
    <w:p w14:paraId="1A9D7FB4" w14:textId="64A6BB0C" w:rsidR="0069548A" w:rsidRDefault="0069548A" w:rsidP="0069548A">
      <w:pPr>
        <w:pStyle w:val="FootnoteText"/>
      </w:pPr>
      <w:r>
        <w:rPr>
          <w:rStyle w:val="FootnoteReference"/>
        </w:rPr>
        <w:footnoteRef/>
      </w:r>
      <w:r>
        <w:t xml:space="preserve"> Medically important antibiotics are those the </w:t>
      </w:r>
      <w:r w:rsidR="008D08AD">
        <w:t>WHO</w:t>
      </w:r>
      <w:r>
        <w:t xml:space="preserve"> deems important to human medicine. This is a much broader category than HPCIAs, which are the sole therapies available to treat serious human infections.</w:t>
      </w:r>
    </w:p>
  </w:footnote>
  <w:footnote w:id="25">
    <w:p w14:paraId="2738D09E" w14:textId="709B4E6C" w:rsidR="0069548A" w:rsidRDefault="0069548A" w:rsidP="0069548A">
      <w:pPr>
        <w:pStyle w:val="FootnoteText"/>
      </w:pPr>
      <w:r>
        <w:rPr>
          <w:rStyle w:val="FootnoteReference"/>
        </w:rPr>
        <w:footnoteRef/>
      </w:r>
      <w:r>
        <w:t xml:space="preserve"> </w:t>
      </w:r>
      <w:r w:rsidR="00CB2A2C">
        <w:rPr>
          <w:i/>
          <w:iCs/>
        </w:rPr>
        <w:t>Summary Report on Antimicrobials Sold or Distributed for Use in Food-Producing Animals,</w:t>
      </w:r>
      <w:r w:rsidR="00CB2A2C">
        <w:t xml:space="preserve"> U.S. Food and Drug Administration (October 2024), available at </w:t>
      </w:r>
      <w:hyperlink r:id="rId18" w:history="1">
        <w:r w:rsidR="00CB2A2C">
          <w:rPr>
            <w:rStyle w:val="Hyperlink"/>
          </w:rPr>
          <w:t>https://www.fda.gov/animal-veterinary/antimicrobial-resistance/2023-summary-report-antimicrobials-sold-or-distributed-use-food-producing-animals</w:t>
        </w:r>
      </w:hyperlink>
      <w:r w:rsidR="00CB2A2C">
        <w:t>.</w:t>
      </w:r>
    </w:p>
  </w:footnote>
  <w:footnote w:id="26">
    <w:p w14:paraId="4BBD7700" w14:textId="77777777" w:rsidR="008A5B4C" w:rsidRDefault="008A5B4C" w:rsidP="008A5B4C">
      <w:pPr>
        <w:pStyle w:val="FootnoteText"/>
      </w:pPr>
      <w:r>
        <w:rPr>
          <w:rStyle w:val="FootnoteReference"/>
        </w:rPr>
        <w:footnoteRef/>
      </w:r>
      <w:r>
        <w:t xml:space="preserve"> </w:t>
      </w:r>
      <w:r>
        <w:rPr>
          <w:color w:val="000000"/>
        </w:rPr>
        <w:t>Ranya Mulchandani et al., “Global Trends in Antimicrobial Use in Food-Producing Animals: 2020 to 2030,”</w:t>
      </w:r>
      <w:r>
        <w:rPr>
          <w:rStyle w:val="apple-converted-space"/>
          <w:color w:val="000000"/>
        </w:rPr>
        <w:t> </w:t>
      </w:r>
      <w:r>
        <w:rPr>
          <w:i/>
          <w:iCs/>
          <w:color w:val="000000"/>
        </w:rPr>
        <w:t>PLOS Global Public Health</w:t>
      </w:r>
      <w:r>
        <w:rPr>
          <w:rStyle w:val="apple-converted-space"/>
          <w:color w:val="000000"/>
        </w:rPr>
        <w:t> </w:t>
      </w:r>
      <w:r>
        <w:rPr>
          <w:color w:val="000000"/>
        </w:rPr>
        <w:t xml:space="preserve">3, no. 2 (February 1, 2023): e0001305, </w:t>
      </w:r>
      <w:hyperlink r:id="rId19" w:history="1">
        <w:r w:rsidRPr="000F6A36">
          <w:rPr>
            <w:rStyle w:val="Hyperlink"/>
          </w:rPr>
          <w:t>https://doi.org/10.1371/journal.pgph.0001305</w:t>
        </w:r>
      </w:hyperlink>
      <w:r>
        <w:rPr>
          <w:color w:val="000000"/>
        </w:rPr>
        <w:t xml:space="preserve">. </w:t>
      </w:r>
    </w:p>
  </w:footnote>
  <w:footnote w:id="27">
    <w:p w14:paraId="3E8B1B22" w14:textId="77777777" w:rsidR="008A5B4C" w:rsidRPr="00C12B3F" w:rsidRDefault="008A5B4C" w:rsidP="008A5B4C">
      <w:pPr>
        <w:pStyle w:val="FootnoteText"/>
        <w:rPr>
          <w:i/>
          <w:iCs/>
        </w:rPr>
      </w:pPr>
      <w:r>
        <w:rPr>
          <w:rStyle w:val="FootnoteReference"/>
        </w:rPr>
        <w:footnoteRef/>
      </w:r>
      <w:r>
        <w:t xml:space="preserve"> Thomas </w:t>
      </w:r>
      <w:r w:rsidRPr="00323E9C">
        <w:t>Van Boeckel, et al.</w:t>
      </w:r>
      <w:r>
        <w:t>,</w:t>
      </w:r>
      <w:r w:rsidRPr="00323E9C">
        <w:t xml:space="preserve"> </w:t>
      </w:r>
      <w:r>
        <w:t>“</w:t>
      </w:r>
      <w:r w:rsidRPr="00323E9C">
        <w:t>Global trends in antimicrobial use in food animals</w:t>
      </w:r>
      <w:r>
        <w:t>,”</w:t>
      </w:r>
      <w:r w:rsidRPr="00323E9C">
        <w:t xml:space="preserve"> </w:t>
      </w:r>
      <w:r w:rsidRPr="00C12B3F">
        <w:rPr>
          <w:i/>
          <w:iCs/>
        </w:rPr>
        <w:t>Proceedings of the National</w:t>
      </w:r>
    </w:p>
    <w:p w14:paraId="799CC2E9" w14:textId="77777777" w:rsidR="008A5B4C" w:rsidRDefault="008A5B4C" w:rsidP="008A5B4C">
      <w:pPr>
        <w:pStyle w:val="FootnoteText"/>
      </w:pPr>
      <w:r w:rsidRPr="00C12B3F">
        <w:rPr>
          <w:i/>
          <w:iCs/>
        </w:rPr>
        <w:t>Academy of Sciences</w:t>
      </w:r>
      <w:r>
        <w:t xml:space="preserve"> (March 19, 2015)</w:t>
      </w:r>
      <w:r w:rsidRPr="00323E9C">
        <w:t xml:space="preserve"> 112(18), 5649-5654</w:t>
      </w:r>
      <w:r>
        <w:t>,</w:t>
      </w:r>
      <w:r w:rsidRPr="00323E9C">
        <w:t xml:space="preserve"> </w:t>
      </w:r>
      <w:r>
        <w:t>a</w:t>
      </w:r>
      <w:r w:rsidRPr="00323E9C">
        <w:t>vailable</w:t>
      </w:r>
      <w:r>
        <w:t xml:space="preserve"> at</w:t>
      </w:r>
      <w:r w:rsidRPr="00323E9C">
        <w:t xml:space="preserve"> </w:t>
      </w:r>
      <w:hyperlink r:id="rId20" w:history="1">
        <w:r w:rsidRPr="00950186">
          <w:rPr>
            <w:rStyle w:val="Hyperlink"/>
          </w:rPr>
          <w:t>https://doi.org/10.1073/pnas.1503141112</w:t>
        </w:r>
      </w:hyperlink>
      <w:r>
        <w:t xml:space="preserve">. </w:t>
      </w:r>
    </w:p>
  </w:footnote>
  <w:footnote w:id="28">
    <w:p w14:paraId="0DEE6380" w14:textId="77777777" w:rsidR="008A5B4C" w:rsidRDefault="008A5B4C" w:rsidP="008A5B4C">
      <w:pPr>
        <w:pStyle w:val="FootnoteText"/>
      </w:pPr>
      <w:r>
        <w:rPr>
          <w:rStyle w:val="FootnoteReference"/>
        </w:rPr>
        <w:footnoteRef/>
      </w:r>
      <w:r>
        <w:t xml:space="preserve"> </w:t>
      </w:r>
      <w:r>
        <w:rPr>
          <w:color w:val="000000"/>
        </w:rPr>
        <w:t>Alejandro Acosta et al., “The Future of Antibiotic Use in Livestock,”</w:t>
      </w:r>
      <w:r>
        <w:rPr>
          <w:rStyle w:val="apple-converted-space"/>
          <w:color w:val="000000"/>
        </w:rPr>
        <w:t> </w:t>
      </w:r>
      <w:r>
        <w:rPr>
          <w:i/>
          <w:iCs/>
          <w:color w:val="000000"/>
        </w:rPr>
        <w:t>Nature Communications</w:t>
      </w:r>
      <w:r>
        <w:rPr>
          <w:rStyle w:val="apple-converted-space"/>
          <w:color w:val="000000"/>
        </w:rPr>
        <w:t> </w:t>
      </w:r>
      <w:r>
        <w:rPr>
          <w:color w:val="000000"/>
        </w:rPr>
        <w:t xml:space="preserve">16, no. 1 (April 1, 2025): 2469, </w:t>
      </w:r>
      <w:hyperlink r:id="rId21" w:history="1">
        <w:r w:rsidRPr="00F334C1">
          <w:rPr>
            <w:rStyle w:val="Hyperlink"/>
          </w:rPr>
          <w:t>https://doi.org/10.1038/s41467-025-56825-7</w:t>
        </w:r>
      </w:hyperlink>
      <w:r>
        <w:rPr>
          <w:color w:val="000000"/>
        </w:rPr>
        <w:t xml:space="preserve">. </w:t>
      </w:r>
    </w:p>
  </w:footnote>
  <w:footnote w:id="29">
    <w:p w14:paraId="57DA3974" w14:textId="77777777" w:rsidR="001C6460" w:rsidRPr="007D2BC9" w:rsidRDefault="001C6460" w:rsidP="001C6460">
      <w:pPr>
        <w:pStyle w:val="FootnoteText"/>
      </w:pPr>
      <w:r>
        <w:rPr>
          <w:rStyle w:val="FootnoteReference"/>
        </w:rPr>
        <w:footnoteRef/>
      </w:r>
      <w:r>
        <w:t xml:space="preserve"> </w:t>
      </w:r>
      <w:r w:rsidRPr="007D2BC9">
        <w:t>World Bank</w:t>
      </w:r>
      <w:r>
        <w:t>,</w:t>
      </w:r>
      <w:r w:rsidRPr="007D2BC9">
        <w:t xml:space="preserve"> </w:t>
      </w:r>
      <w:r>
        <w:t>“</w:t>
      </w:r>
      <w:r w:rsidRPr="00D040EC">
        <w:t>Drug-Resistant Infections: A Threat to Our Economic Future</w:t>
      </w:r>
      <w:r>
        <w:t>,” (March 2017),</w:t>
      </w:r>
      <w:r w:rsidRPr="007D2BC9">
        <w:t xml:space="preserve"> </w:t>
      </w:r>
      <w:r>
        <w:t>a</w:t>
      </w:r>
      <w:r w:rsidRPr="007D2BC9">
        <w:t>vailable</w:t>
      </w:r>
      <w:r>
        <w:t xml:space="preserve"> at</w:t>
      </w:r>
    </w:p>
    <w:p w14:paraId="69DAF0FA" w14:textId="77777777" w:rsidR="001C6460" w:rsidRPr="007D2BC9" w:rsidRDefault="001C6460" w:rsidP="001C6460">
      <w:pPr>
        <w:pStyle w:val="FootnoteText"/>
      </w:pPr>
      <w:hyperlink r:id="rId22" w:history="1">
        <w:r w:rsidRPr="00950186">
          <w:rPr>
            <w:rStyle w:val="Hyperlink"/>
          </w:rPr>
          <w:t>https://documents1.worldbank.org/curated/en/323311493396993758/pdf/final-report.pdf</w:t>
        </w:r>
      </w:hyperlink>
      <w:r>
        <w:t xml:space="preserve">. </w:t>
      </w:r>
    </w:p>
  </w:footnote>
  <w:footnote w:id="30">
    <w:p w14:paraId="0F5B9EDC" w14:textId="77777777" w:rsidR="001C6460" w:rsidRDefault="001C6460" w:rsidP="001C6460">
      <w:pPr>
        <w:pStyle w:val="FootnoteText"/>
      </w:pPr>
      <w:r>
        <w:rPr>
          <w:rStyle w:val="FootnoteReference"/>
        </w:rPr>
        <w:footnoteRef/>
      </w:r>
      <w:r>
        <w:t xml:space="preserve"> </w:t>
      </w:r>
      <w:r>
        <w:rPr>
          <w:color w:val="000000"/>
        </w:rPr>
        <w:t>The Shareholder Commons, “AMR &amp; the Engagement Gap.”</w:t>
      </w:r>
    </w:p>
  </w:footnote>
  <w:footnote w:id="31">
    <w:p w14:paraId="010A8399" w14:textId="70FA9B42" w:rsidR="004B6714" w:rsidRPr="0010114A" w:rsidRDefault="004B6714" w:rsidP="00FF74AC">
      <w:pPr>
        <w:pStyle w:val="FootnoteText"/>
      </w:pPr>
      <w:r w:rsidRPr="0010114A">
        <w:rPr>
          <w:rStyle w:val="FootnoteReference"/>
          <w:rFonts w:cs="Times New Roman"/>
          <w:szCs w:val="16"/>
        </w:rPr>
        <w:footnoteRef/>
      </w:r>
      <w:r w:rsidRPr="0010114A">
        <w:t xml:space="preserve"> </w:t>
      </w:r>
      <w:r w:rsidRPr="0010114A">
        <w:rPr>
          <w:i/>
          <w:iCs/>
        </w:rPr>
        <w:t>See generally</w:t>
      </w:r>
      <w:r w:rsidRPr="0010114A">
        <w:t>, </w:t>
      </w:r>
      <w:r w:rsidR="00D06FCC">
        <w:rPr>
          <w:color w:val="000000"/>
        </w:rPr>
        <w:t>Burton Gordon Malkiel,</w:t>
      </w:r>
      <w:r w:rsidR="00D06FCC">
        <w:rPr>
          <w:rStyle w:val="apple-converted-space"/>
          <w:color w:val="000000"/>
        </w:rPr>
        <w:t> </w:t>
      </w:r>
      <w:r w:rsidR="00D06FCC">
        <w:rPr>
          <w:i/>
          <w:iCs/>
          <w:color w:val="000000"/>
        </w:rPr>
        <w:t>A Random Walk down Wall Street: The Time-Tested Strategy for Successful Investing</w:t>
      </w:r>
      <w:r w:rsidR="00D06FCC">
        <w:rPr>
          <w:rStyle w:val="apple-converted-space"/>
          <w:color w:val="000000"/>
        </w:rPr>
        <w:t> </w:t>
      </w:r>
      <w:r w:rsidR="00D06FCC">
        <w:rPr>
          <w:color w:val="000000"/>
        </w:rPr>
        <w:t>(New York: W.W. Norton &amp; Company, 2020).</w:t>
      </w:r>
    </w:p>
  </w:footnote>
  <w:footnote w:id="32">
    <w:p w14:paraId="0B673A76" w14:textId="4597131C" w:rsidR="004B6714" w:rsidRPr="00EF6EE1" w:rsidRDefault="004B6714" w:rsidP="00FF74AC">
      <w:pPr>
        <w:pStyle w:val="FootnoteText"/>
      </w:pPr>
      <w:r w:rsidRPr="0010114A">
        <w:rPr>
          <w:rStyle w:val="FootnoteReference"/>
          <w:rFonts w:cs="Times New Roman"/>
          <w:szCs w:val="16"/>
        </w:rPr>
        <w:footnoteRef/>
      </w:r>
      <w:r w:rsidRPr="0010114A">
        <w:t xml:space="preserve"> </w:t>
      </w:r>
      <w:r w:rsidR="00EF6EE1">
        <w:rPr>
          <w:color w:val="000000"/>
        </w:rPr>
        <w:t>Malkiel,</w:t>
      </w:r>
      <w:r w:rsidR="00EF6EE1">
        <w:rPr>
          <w:rStyle w:val="apple-converted-space"/>
          <w:color w:val="000000"/>
        </w:rPr>
        <w:t> </w:t>
      </w:r>
      <w:r w:rsidR="00EF6EE1">
        <w:rPr>
          <w:i/>
          <w:iCs/>
          <w:color w:val="000000"/>
        </w:rPr>
        <w:t>A Random Walk down Wall Street</w:t>
      </w:r>
      <w:r w:rsidR="00EF6EE1">
        <w:rPr>
          <w:color w:val="000000"/>
        </w:rPr>
        <w:t>.</w:t>
      </w:r>
    </w:p>
  </w:footnote>
  <w:footnote w:id="33">
    <w:p w14:paraId="123A64FD" w14:textId="77777777" w:rsidR="004B6714" w:rsidRPr="0010114A" w:rsidRDefault="004B6714" w:rsidP="00FF74AC">
      <w:pPr>
        <w:pStyle w:val="FootnoteText"/>
      </w:pPr>
      <w:r w:rsidRPr="0010114A">
        <w:rPr>
          <w:rStyle w:val="FootnoteReference"/>
          <w:rFonts w:cs="Times New Roman"/>
          <w:szCs w:val="16"/>
        </w:rPr>
        <w:footnoteRef/>
      </w:r>
      <w:r w:rsidRPr="0010114A">
        <w:t xml:space="preserve"> 29 USC Section 404(a)(1)(C</w:t>
      </w:r>
      <w:r>
        <w:t>)</w:t>
      </w:r>
      <w:r w:rsidRPr="0010114A">
        <w:t>.</w:t>
      </w:r>
    </w:p>
  </w:footnote>
  <w:footnote w:id="34">
    <w:p w14:paraId="6540EBA7" w14:textId="77777777" w:rsidR="004B6714" w:rsidRDefault="004B6714" w:rsidP="00FF74AC">
      <w:pPr>
        <w:pStyle w:val="FootnoteText"/>
      </w:pPr>
      <w:r>
        <w:rPr>
          <w:rStyle w:val="FootnoteReference"/>
        </w:rPr>
        <w:footnoteRef/>
      </w:r>
      <w:r>
        <w:t xml:space="preserve"> </w:t>
      </w:r>
      <w:r>
        <w:rPr>
          <w:i/>
        </w:rPr>
        <w:t xml:space="preserve">See </w:t>
      </w:r>
      <w:r w:rsidRPr="00C96D55">
        <w:t>Uniform Prudent Investor Act, § 3</w:t>
      </w:r>
      <w:r w:rsidRPr="00C96D55">
        <w:fldChar w:fldCharType="begin"/>
      </w:r>
      <w:r w:rsidRPr="00C96D55">
        <w:instrText xml:space="preserve"> TA \l "Uniform Prudent Investor Act, §3" \s "Uniform Prudent Investor Act, §3" \c 2 </w:instrText>
      </w:r>
      <w:r w:rsidRPr="00C96D55">
        <w:fldChar w:fldCharType="end"/>
      </w:r>
      <w:r w:rsidRPr="00C96D55">
        <w:t xml:space="preserve"> (“[a] trustee shall diversify the investments of the trust unless the trustee reasonably determines that, because of special circumstances, the purposes of the trust are better served without diversifying.”)</w:t>
      </w:r>
    </w:p>
  </w:footnote>
  <w:footnote w:id="35">
    <w:p w14:paraId="4A034CB3" w14:textId="4B6E8AC0" w:rsidR="006F60F2" w:rsidRPr="00492566" w:rsidRDefault="006F60F2" w:rsidP="006F60F2">
      <w:pPr>
        <w:pStyle w:val="FootnoteText"/>
      </w:pPr>
      <w:r w:rsidRPr="00492566">
        <w:rPr>
          <w:rStyle w:val="FootnoteReference"/>
          <w:rFonts w:ascii="Times New Roman" w:hAnsi="Times New Roman" w:cs="Times New Roman"/>
        </w:rPr>
        <w:footnoteRef/>
      </w:r>
      <w:r w:rsidRPr="00492566">
        <w:t xml:space="preserve"> </w:t>
      </w:r>
      <w:r w:rsidR="0022028A">
        <w:rPr>
          <w:color w:val="000000"/>
        </w:rPr>
        <w:t xml:space="preserve">Stephen Davis, Jon </w:t>
      </w:r>
      <w:proofErr w:type="spellStart"/>
      <w:r w:rsidR="0022028A">
        <w:rPr>
          <w:color w:val="000000"/>
        </w:rPr>
        <w:t>Lukomnik</w:t>
      </w:r>
      <w:proofErr w:type="spellEnd"/>
      <w:r w:rsidR="0022028A">
        <w:rPr>
          <w:color w:val="000000"/>
        </w:rPr>
        <w:t>, and David Pitt-Watson,</w:t>
      </w:r>
      <w:r w:rsidR="0022028A">
        <w:rPr>
          <w:rStyle w:val="apple-converted-space"/>
          <w:color w:val="000000"/>
        </w:rPr>
        <w:t> </w:t>
      </w:r>
      <w:r w:rsidR="0022028A">
        <w:rPr>
          <w:i/>
          <w:iCs/>
          <w:color w:val="000000"/>
        </w:rPr>
        <w:t>What They Do with Your Money How the Financial System Fails Us and How to Fix It</w:t>
      </w:r>
      <w:r w:rsidR="0022028A">
        <w:rPr>
          <w:rStyle w:val="apple-converted-space"/>
          <w:color w:val="000000"/>
        </w:rPr>
        <w:t> </w:t>
      </w:r>
      <w:r w:rsidR="0022028A">
        <w:rPr>
          <w:color w:val="000000"/>
        </w:rPr>
        <w:t>(Yale University Press, 2016).</w:t>
      </w:r>
    </w:p>
  </w:footnote>
  <w:footnote w:id="36">
    <w:p w14:paraId="6950E316" w14:textId="34EDE4B0" w:rsidR="004B6714" w:rsidRPr="0066388E" w:rsidRDefault="004B6714" w:rsidP="00FF74AC">
      <w:pPr>
        <w:pStyle w:val="FootnoteText"/>
      </w:pPr>
      <w:r w:rsidRPr="0066388E">
        <w:rPr>
          <w:rStyle w:val="FootnoteReference"/>
          <w:rFonts w:cstheme="majorHAnsi"/>
        </w:rPr>
        <w:footnoteRef/>
      </w:r>
      <w:r w:rsidRPr="0066388E">
        <w:t xml:space="preserve"> </w:t>
      </w:r>
      <w:r w:rsidR="009D30C7">
        <w:rPr>
          <w:color w:val="000000"/>
        </w:rPr>
        <w:t xml:space="preserve">Mattison, </w:t>
      </w:r>
      <w:proofErr w:type="spellStart"/>
      <w:r w:rsidR="009D30C7">
        <w:rPr>
          <w:color w:val="000000"/>
        </w:rPr>
        <w:t>Trevitt</w:t>
      </w:r>
      <w:proofErr w:type="spellEnd"/>
      <w:r w:rsidR="009D30C7">
        <w:rPr>
          <w:color w:val="000000"/>
        </w:rPr>
        <w:t>, and van Ast, “Universal Ownership,” Appendix IV.</w:t>
      </w:r>
    </w:p>
  </w:footnote>
  <w:footnote w:id="37">
    <w:p w14:paraId="5F24A4D9" w14:textId="20AC989D" w:rsidR="004B6714" w:rsidRPr="0066388E" w:rsidRDefault="004B6714" w:rsidP="00FF74AC">
      <w:pPr>
        <w:pStyle w:val="FootnoteText"/>
      </w:pPr>
      <w:r w:rsidRPr="0066388E">
        <w:rPr>
          <w:rStyle w:val="FootnoteReference"/>
          <w:rFonts w:cstheme="majorHAnsi"/>
        </w:rPr>
        <w:footnoteRef/>
      </w:r>
      <w:r w:rsidRPr="0066388E">
        <w:t xml:space="preserve"> </w:t>
      </w:r>
      <w:r w:rsidR="00E73435">
        <w:rPr>
          <w:rFonts w:cstheme="majorHAnsi"/>
        </w:rPr>
        <w:t xml:space="preserve">Warren Buffett and Carol Loomis, “Warren Buffett on the Stock Market,” </w:t>
      </w:r>
      <w:r w:rsidR="00E73435">
        <w:rPr>
          <w:rFonts w:cstheme="majorHAnsi"/>
          <w:i/>
          <w:iCs/>
        </w:rPr>
        <w:t>Fortune Magazine</w:t>
      </w:r>
      <w:r w:rsidR="00E73435">
        <w:rPr>
          <w:rFonts w:cstheme="majorHAnsi"/>
        </w:rPr>
        <w:t xml:space="preserve"> (December 10, 2001), available at</w:t>
      </w:r>
      <w:r w:rsidR="00E73435" w:rsidRPr="00E357C4">
        <w:rPr>
          <w:rFonts w:cstheme="majorHAnsi"/>
        </w:rPr>
        <w:t xml:space="preserve"> </w:t>
      </w:r>
      <w:hyperlink r:id="rId23" w:history="1">
        <w:r w:rsidR="00E73435" w:rsidRPr="00950186">
          <w:rPr>
            <w:rStyle w:val="Hyperlink"/>
            <w:rFonts w:cstheme="majorHAnsi"/>
          </w:rPr>
          <w:t>https://archive.fortune.com/magazines/fortune/fortune_archive/2001/12/10/314691/index.htm</w:t>
        </w:r>
      </w:hyperlink>
      <w:r w:rsidR="00E73435">
        <w:rPr>
          <w:rFonts w:cstheme="majorHAnsi"/>
        </w:rPr>
        <w:t>.</w:t>
      </w:r>
    </w:p>
  </w:footnote>
  <w:footnote w:id="38">
    <w:p w14:paraId="53D9EE40" w14:textId="140B3576" w:rsidR="00B37716" w:rsidRPr="009D3DA3" w:rsidRDefault="00B37716" w:rsidP="00B37716">
      <w:pPr>
        <w:pStyle w:val="FootnoteText"/>
      </w:pPr>
      <w:r w:rsidRPr="009D3DA3">
        <w:rPr>
          <w:rStyle w:val="FootnoteReference"/>
          <w:rFonts w:cstheme="majorHAnsi"/>
        </w:rPr>
        <w:footnoteRef/>
      </w:r>
      <w:r w:rsidRPr="009D3DA3">
        <w:t xml:space="preserve"> </w:t>
      </w:r>
      <w:r w:rsidR="00272B69">
        <w:rPr>
          <w:color w:val="000000"/>
        </w:rPr>
        <w:t xml:space="preserve">Mattison, </w:t>
      </w:r>
      <w:proofErr w:type="spellStart"/>
      <w:r w:rsidR="00272B69">
        <w:rPr>
          <w:color w:val="000000"/>
        </w:rPr>
        <w:t>Trevitt</w:t>
      </w:r>
      <w:proofErr w:type="spellEnd"/>
      <w:r w:rsidR="00272B69">
        <w:rPr>
          <w:color w:val="000000"/>
        </w:rPr>
        <w:t>, and van Ast, “Universal Ownership.”</w:t>
      </w:r>
      <w:r w:rsidR="00821E2D" w:rsidRPr="009D3DA3">
        <w:t xml:space="preserve"> </w:t>
      </w:r>
    </w:p>
  </w:footnote>
  <w:footnote w:id="39">
    <w:p w14:paraId="4AAC1013" w14:textId="19B6E133" w:rsidR="004B6714" w:rsidRPr="0066388E" w:rsidRDefault="004B6714" w:rsidP="00FF74AC">
      <w:pPr>
        <w:pStyle w:val="FootnoteText"/>
      </w:pPr>
      <w:r w:rsidRPr="0066388E">
        <w:rPr>
          <w:rStyle w:val="FootnoteReference"/>
          <w:rFonts w:cstheme="majorHAnsi"/>
        </w:rPr>
        <w:footnoteRef/>
      </w:r>
      <w:r w:rsidRPr="0066388E">
        <w:t xml:space="preserve"> </w:t>
      </w:r>
      <w:r w:rsidRPr="0066388E">
        <w:rPr>
          <w:i/>
        </w:rPr>
        <w:t xml:space="preserve">See, e.g., </w:t>
      </w:r>
      <w:r w:rsidRPr="004F6185">
        <w:rPr>
          <w:iCs/>
        </w:rPr>
        <w:t xml:space="preserve">Kaushik Basu, </w:t>
      </w:r>
      <w:r w:rsidRPr="003D6596">
        <w:rPr>
          <w:i/>
        </w:rPr>
        <w:t>Beyond the Invisible Hand: Groundwork for a New Economics</w:t>
      </w:r>
      <w:r w:rsidR="00E55592">
        <w:rPr>
          <w:iCs/>
        </w:rPr>
        <w:t>,</w:t>
      </w:r>
      <w:r w:rsidRPr="0066388E">
        <w:t xml:space="preserve"> </w:t>
      </w:r>
      <w:r w:rsidR="003D6596">
        <w:t>(</w:t>
      </w:r>
      <w:r w:rsidR="0032174B">
        <w:rPr>
          <w:iCs/>
        </w:rPr>
        <w:t>Princeton University Press</w:t>
      </w:r>
      <w:r w:rsidR="003D6596">
        <w:rPr>
          <w:iCs/>
        </w:rPr>
        <w:t xml:space="preserve">, </w:t>
      </w:r>
      <w:r w:rsidR="00163F90">
        <w:rPr>
          <w:iCs/>
        </w:rPr>
        <w:t>2011), p.10</w:t>
      </w:r>
      <w:r w:rsidR="0032174B" w:rsidRPr="0066388E">
        <w:t xml:space="preserve"> </w:t>
      </w:r>
      <w:r w:rsidRPr="0066388E">
        <w:t>(explaining the First Fundamental Theorem of Welfare Economics as the strict conditions (including the absence of externalities) under which competition for profit produces optimal social outcomes).</w:t>
      </w:r>
    </w:p>
  </w:footnote>
  <w:footnote w:id="40">
    <w:p w14:paraId="45F18956" w14:textId="6401F16A" w:rsidR="004B6714" w:rsidRPr="0066388E" w:rsidRDefault="004B6714" w:rsidP="00FF74AC">
      <w:pPr>
        <w:pStyle w:val="FootnoteText"/>
      </w:pPr>
      <w:r w:rsidRPr="0066388E">
        <w:rPr>
          <w:rStyle w:val="FootnoteReference"/>
          <w:rFonts w:cstheme="majorHAnsi"/>
        </w:rPr>
        <w:footnoteRef/>
      </w:r>
      <w:r w:rsidRPr="0066388E">
        <w:t xml:space="preserve"> </w:t>
      </w:r>
      <w:r w:rsidR="00FD41F0">
        <w:rPr>
          <w:color w:val="000000"/>
        </w:rPr>
        <w:t>Andrew Howard, “</w:t>
      </w:r>
      <w:proofErr w:type="spellStart"/>
      <w:r w:rsidR="00FD41F0">
        <w:rPr>
          <w:color w:val="000000"/>
        </w:rPr>
        <w:t>SustainEx</w:t>
      </w:r>
      <w:proofErr w:type="spellEnd"/>
      <w:r w:rsidR="00FD41F0">
        <w:rPr>
          <w:color w:val="000000"/>
        </w:rPr>
        <w:t xml:space="preserve">: Examining the Social Value of Corporate Activities” (Schroders, April 2019), </w:t>
      </w:r>
      <w:hyperlink r:id="rId24" w:history="1">
        <w:r w:rsidR="00FD41F0" w:rsidRPr="002C3C64">
          <w:rPr>
            <w:rStyle w:val="Hyperlink"/>
          </w:rPr>
          <w:t>https://www.schroders.com/en-ch/ch/professional/insights/sustainex-quantifying-the-hidden-costs-of-companies-social-impacts/</w:t>
        </w:r>
      </w:hyperlink>
      <w:r w:rsidR="00FD41F0">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43C9" w14:textId="0DFF0CE8" w:rsidR="006047D0" w:rsidRDefault="006047D0" w:rsidP="00FF74AC">
    <w:pPr>
      <w:pStyle w:val="Header"/>
      <w:rPr>
        <w:noProof/>
      </w:rPr>
    </w:pPr>
    <w:r w:rsidRPr="003231C3">
      <w:rPr>
        <w:noProof/>
        <w:lang w:bidi="ar-SA"/>
      </w:rPr>
      <w:drawing>
        <wp:inline distT="0" distB="0" distL="0" distR="0" wp14:anchorId="161D6C8D" wp14:editId="01DA205D">
          <wp:extent cx="1073150" cy="107315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p w14:paraId="0C9EE1B2" w14:textId="77777777" w:rsidR="006047D0" w:rsidRPr="003D54C1" w:rsidRDefault="006047D0" w:rsidP="00FF74AC">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1FC3"/>
    <w:multiLevelType w:val="hybridMultilevel"/>
    <w:tmpl w:val="B31496D0"/>
    <w:lvl w:ilvl="0" w:tplc="35AEB6D0">
      <w:start w:val="1"/>
      <w:numFmt w:val="upperLetter"/>
      <w:pStyle w:val="Heading1"/>
      <w:lvlText w:val="%1."/>
      <w:lvlJc w:val="left"/>
      <w:pPr>
        <w:ind w:left="1080" w:hanging="360"/>
      </w:pPr>
      <w:rPr>
        <w:rFonts w:asciiTheme="majorHAnsi" w:hAnsiTheme="majorHAnsi" w:cstheme="maj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04027A"/>
    <w:multiLevelType w:val="hybridMultilevel"/>
    <w:tmpl w:val="874A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D0305"/>
    <w:multiLevelType w:val="hybridMultilevel"/>
    <w:tmpl w:val="FDCC1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2766D"/>
    <w:multiLevelType w:val="hybridMultilevel"/>
    <w:tmpl w:val="1ECE4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435955"/>
    <w:multiLevelType w:val="hybridMultilevel"/>
    <w:tmpl w:val="75C6CBF6"/>
    <w:lvl w:ilvl="0" w:tplc="3A32ED72">
      <w:start w:val="1"/>
      <w:numFmt w:val="decimal"/>
      <w:pStyle w:val="Heading2"/>
      <w:lvlText w:val="%1."/>
      <w:lvlJc w:val="left"/>
      <w:pPr>
        <w:ind w:left="1080" w:hanging="360"/>
      </w:pPr>
      <w:rPr>
        <w:rFonts w:hint="default"/>
        <w:b/>
        <w:bCs w:val="0"/>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165449"/>
    <w:multiLevelType w:val="hybridMultilevel"/>
    <w:tmpl w:val="F424D2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0731984">
    <w:abstractNumId w:val="1"/>
  </w:num>
  <w:num w:numId="2" w16cid:durableId="663893408">
    <w:abstractNumId w:val="0"/>
  </w:num>
  <w:num w:numId="3" w16cid:durableId="564872733">
    <w:abstractNumId w:val="4"/>
    <w:lvlOverride w:ilvl="0">
      <w:startOverride w:val="1"/>
    </w:lvlOverride>
  </w:num>
  <w:num w:numId="4" w16cid:durableId="1442801586">
    <w:abstractNumId w:val="2"/>
  </w:num>
  <w:num w:numId="5" w16cid:durableId="446432150">
    <w:abstractNumId w:val="4"/>
  </w:num>
  <w:num w:numId="6" w16cid:durableId="107163668">
    <w:abstractNumId w:val="4"/>
    <w:lvlOverride w:ilvl="0">
      <w:startOverride w:val="1"/>
    </w:lvlOverride>
  </w:num>
  <w:num w:numId="7" w16cid:durableId="164561265">
    <w:abstractNumId w:val="3"/>
  </w:num>
  <w:num w:numId="8" w16cid:durableId="8351958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91"/>
    <w:rsid w:val="000005FB"/>
    <w:rsid w:val="000008D7"/>
    <w:rsid w:val="0000117E"/>
    <w:rsid w:val="00001287"/>
    <w:rsid w:val="00001686"/>
    <w:rsid w:val="00002294"/>
    <w:rsid w:val="00002802"/>
    <w:rsid w:val="00002B95"/>
    <w:rsid w:val="00002C31"/>
    <w:rsid w:val="00003D80"/>
    <w:rsid w:val="000040B8"/>
    <w:rsid w:val="0000423D"/>
    <w:rsid w:val="00004373"/>
    <w:rsid w:val="00005BDB"/>
    <w:rsid w:val="00006835"/>
    <w:rsid w:val="000102BD"/>
    <w:rsid w:val="00010A8D"/>
    <w:rsid w:val="00010EFF"/>
    <w:rsid w:val="00010FE3"/>
    <w:rsid w:val="0001165A"/>
    <w:rsid w:val="0001171A"/>
    <w:rsid w:val="000119AD"/>
    <w:rsid w:val="00013F35"/>
    <w:rsid w:val="0001445B"/>
    <w:rsid w:val="00016323"/>
    <w:rsid w:val="000179D1"/>
    <w:rsid w:val="00017A10"/>
    <w:rsid w:val="00020C27"/>
    <w:rsid w:val="00021644"/>
    <w:rsid w:val="00021AE9"/>
    <w:rsid w:val="000221B6"/>
    <w:rsid w:val="00022386"/>
    <w:rsid w:val="000223ED"/>
    <w:rsid w:val="00023765"/>
    <w:rsid w:val="00023A34"/>
    <w:rsid w:val="0002453B"/>
    <w:rsid w:val="00024CEE"/>
    <w:rsid w:val="00025D33"/>
    <w:rsid w:val="00025FCB"/>
    <w:rsid w:val="00026281"/>
    <w:rsid w:val="000263BC"/>
    <w:rsid w:val="00026A42"/>
    <w:rsid w:val="00026DCE"/>
    <w:rsid w:val="00026E22"/>
    <w:rsid w:val="0002703E"/>
    <w:rsid w:val="00027073"/>
    <w:rsid w:val="00027F16"/>
    <w:rsid w:val="000303DA"/>
    <w:rsid w:val="00032FCC"/>
    <w:rsid w:val="000334E2"/>
    <w:rsid w:val="00033B6F"/>
    <w:rsid w:val="000340E2"/>
    <w:rsid w:val="00034119"/>
    <w:rsid w:val="000347F3"/>
    <w:rsid w:val="00034EBA"/>
    <w:rsid w:val="00035052"/>
    <w:rsid w:val="000350BC"/>
    <w:rsid w:val="000362E4"/>
    <w:rsid w:val="00037696"/>
    <w:rsid w:val="000404F8"/>
    <w:rsid w:val="0004114E"/>
    <w:rsid w:val="00041165"/>
    <w:rsid w:val="0004144D"/>
    <w:rsid w:val="00041E04"/>
    <w:rsid w:val="00042158"/>
    <w:rsid w:val="000423C6"/>
    <w:rsid w:val="00042763"/>
    <w:rsid w:val="00042E53"/>
    <w:rsid w:val="0004349E"/>
    <w:rsid w:val="000437B5"/>
    <w:rsid w:val="000438BB"/>
    <w:rsid w:val="00043A43"/>
    <w:rsid w:val="00043F4B"/>
    <w:rsid w:val="0004499C"/>
    <w:rsid w:val="00045005"/>
    <w:rsid w:val="000451A5"/>
    <w:rsid w:val="000451E8"/>
    <w:rsid w:val="00045F58"/>
    <w:rsid w:val="000466AE"/>
    <w:rsid w:val="00046AA8"/>
    <w:rsid w:val="0004704B"/>
    <w:rsid w:val="00047741"/>
    <w:rsid w:val="000478E4"/>
    <w:rsid w:val="0004791A"/>
    <w:rsid w:val="00047B03"/>
    <w:rsid w:val="00047F38"/>
    <w:rsid w:val="000504AB"/>
    <w:rsid w:val="00050A2C"/>
    <w:rsid w:val="00050BB0"/>
    <w:rsid w:val="00052579"/>
    <w:rsid w:val="000528B8"/>
    <w:rsid w:val="00052A39"/>
    <w:rsid w:val="00052CDA"/>
    <w:rsid w:val="00053BBB"/>
    <w:rsid w:val="00054953"/>
    <w:rsid w:val="00055554"/>
    <w:rsid w:val="00055AA5"/>
    <w:rsid w:val="00056B7F"/>
    <w:rsid w:val="00056D3D"/>
    <w:rsid w:val="00057918"/>
    <w:rsid w:val="00057A95"/>
    <w:rsid w:val="0006045D"/>
    <w:rsid w:val="000604B4"/>
    <w:rsid w:val="00061462"/>
    <w:rsid w:val="00061D07"/>
    <w:rsid w:val="00061E55"/>
    <w:rsid w:val="00061E62"/>
    <w:rsid w:val="000644C1"/>
    <w:rsid w:val="00064A54"/>
    <w:rsid w:val="00064D2F"/>
    <w:rsid w:val="0006562F"/>
    <w:rsid w:val="000658AB"/>
    <w:rsid w:val="00066706"/>
    <w:rsid w:val="0007099B"/>
    <w:rsid w:val="00070C4D"/>
    <w:rsid w:val="00070F96"/>
    <w:rsid w:val="000719F5"/>
    <w:rsid w:val="00072A47"/>
    <w:rsid w:val="00072B70"/>
    <w:rsid w:val="00072EEE"/>
    <w:rsid w:val="000750D0"/>
    <w:rsid w:val="0007690A"/>
    <w:rsid w:val="000770F5"/>
    <w:rsid w:val="0007736F"/>
    <w:rsid w:val="000777B2"/>
    <w:rsid w:val="00077831"/>
    <w:rsid w:val="00080853"/>
    <w:rsid w:val="0008256E"/>
    <w:rsid w:val="00083561"/>
    <w:rsid w:val="00083984"/>
    <w:rsid w:val="000841AB"/>
    <w:rsid w:val="00084940"/>
    <w:rsid w:val="00084E27"/>
    <w:rsid w:val="00084F5B"/>
    <w:rsid w:val="000852F1"/>
    <w:rsid w:val="00085D2A"/>
    <w:rsid w:val="00087B84"/>
    <w:rsid w:val="00090C3B"/>
    <w:rsid w:val="0009194A"/>
    <w:rsid w:val="00091B71"/>
    <w:rsid w:val="00092032"/>
    <w:rsid w:val="0009226E"/>
    <w:rsid w:val="00092839"/>
    <w:rsid w:val="00092BB2"/>
    <w:rsid w:val="00092E70"/>
    <w:rsid w:val="000935E1"/>
    <w:rsid w:val="00094676"/>
    <w:rsid w:val="0009491F"/>
    <w:rsid w:val="00094A84"/>
    <w:rsid w:val="000952AD"/>
    <w:rsid w:val="00095881"/>
    <w:rsid w:val="00095D6A"/>
    <w:rsid w:val="00096023"/>
    <w:rsid w:val="000966B2"/>
    <w:rsid w:val="000974F2"/>
    <w:rsid w:val="00097BD2"/>
    <w:rsid w:val="00097E09"/>
    <w:rsid w:val="000A0DF4"/>
    <w:rsid w:val="000A0FB3"/>
    <w:rsid w:val="000A2209"/>
    <w:rsid w:val="000A2511"/>
    <w:rsid w:val="000A28B8"/>
    <w:rsid w:val="000A2E78"/>
    <w:rsid w:val="000A3120"/>
    <w:rsid w:val="000A3B13"/>
    <w:rsid w:val="000A3FE7"/>
    <w:rsid w:val="000A51B6"/>
    <w:rsid w:val="000A5621"/>
    <w:rsid w:val="000A5EC1"/>
    <w:rsid w:val="000A6996"/>
    <w:rsid w:val="000A6DDE"/>
    <w:rsid w:val="000A7074"/>
    <w:rsid w:val="000A7747"/>
    <w:rsid w:val="000A7A9B"/>
    <w:rsid w:val="000A7ADD"/>
    <w:rsid w:val="000B0D7B"/>
    <w:rsid w:val="000B1B2F"/>
    <w:rsid w:val="000B3B41"/>
    <w:rsid w:val="000B3EBD"/>
    <w:rsid w:val="000B4215"/>
    <w:rsid w:val="000B4599"/>
    <w:rsid w:val="000B4688"/>
    <w:rsid w:val="000B5C70"/>
    <w:rsid w:val="000B5EB5"/>
    <w:rsid w:val="000B644E"/>
    <w:rsid w:val="000B6939"/>
    <w:rsid w:val="000B6CE7"/>
    <w:rsid w:val="000B6F3C"/>
    <w:rsid w:val="000B744C"/>
    <w:rsid w:val="000C04E9"/>
    <w:rsid w:val="000C0DD0"/>
    <w:rsid w:val="000C168C"/>
    <w:rsid w:val="000C1DD0"/>
    <w:rsid w:val="000C2115"/>
    <w:rsid w:val="000C3265"/>
    <w:rsid w:val="000C432D"/>
    <w:rsid w:val="000C43D3"/>
    <w:rsid w:val="000C5400"/>
    <w:rsid w:val="000C54BF"/>
    <w:rsid w:val="000C59DF"/>
    <w:rsid w:val="000C6922"/>
    <w:rsid w:val="000C776F"/>
    <w:rsid w:val="000C78B5"/>
    <w:rsid w:val="000D1642"/>
    <w:rsid w:val="000D3E96"/>
    <w:rsid w:val="000D51A5"/>
    <w:rsid w:val="000D53AB"/>
    <w:rsid w:val="000D5E2D"/>
    <w:rsid w:val="000D5F87"/>
    <w:rsid w:val="000D6509"/>
    <w:rsid w:val="000D66DB"/>
    <w:rsid w:val="000D6F33"/>
    <w:rsid w:val="000D7154"/>
    <w:rsid w:val="000D73F8"/>
    <w:rsid w:val="000D744D"/>
    <w:rsid w:val="000D75AB"/>
    <w:rsid w:val="000D766B"/>
    <w:rsid w:val="000D7AF0"/>
    <w:rsid w:val="000E03CE"/>
    <w:rsid w:val="000E093A"/>
    <w:rsid w:val="000E0EFB"/>
    <w:rsid w:val="000E1847"/>
    <w:rsid w:val="000E185E"/>
    <w:rsid w:val="000E2D8C"/>
    <w:rsid w:val="000E2FF6"/>
    <w:rsid w:val="000E3DE0"/>
    <w:rsid w:val="000E4282"/>
    <w:rsid w:val="000E4477"/>
    <w:rsid w:val="000E44D8"/>
    <w:rsid w:val="000E466C"/>
    <w:rsid w:val="000E6568"/>
    <w:rsid w:val="000E6B08"/>
    <w:rsid w:val="000E6C35"/>
    <w:rsid w:val="000E6D6C"/>
    <w:rsid w:val="000E7B2B"/>
    <w:rsid w:val="000E7FCA"/>
    <w:rsid w:val="000F107D"/>
    <w:rsid w:val="000F19F6"/>
    <w:rsid w:val="000F21CA"/>
    <w:rsid w:val="000F24E1"/>
    <w:rsid w:val="000F2B9A"/>
    <w:rsid w:val="000F2F2C"/>
    <w:rsid w:val="000F3E72"/>
    <w:rsid w:val="000F44F5"/>
    <w:rsid w:val="000F45B8"/>
    <w:rsid w:val="000F4772"/>
    <w:rsid w:val="000F4C6B"/>
    <w:rsid w:val="000F4CFB"/>
    <w:rsid w:val="000F6020"/>
    <w:rsid w:val="000F68CA"/>
    <w:rsid w:val="000F6BFD"/>
    <w:rsid w:val="000F6E7A"/>
    <w:rsid w:val="000F73B0"/>
    <w:rsid w:val="000F73EF"/>
    <w:rsid w:val="0010004B"/>
    <w:rsid w:val="001010D1"/>
    <w:rsid w:val="001011EB"/>
    <w:rsid w:val="00101262"/>
    <w:rsid w:val="0010163B"/>
    <w:rsid w:val="001023A8"/>
    <w:rsid w:val="00103558"/>
    <w:rsid w:val="00103622"/>
    <w:rsid w:val="001045B6"/>
    <w:rsid w:val="00104620"/>
    <w:rsid w:val="00105952"/>
    <w:rsid w:val="0010601F"/>
    <w:rsid w:val="0010619A"/>
    <w:rsid w:val="00106BCA"/>
    <w:rsid w:val="00106DD7"/>
    <w:rsid w:val="00107391"/>
    <w:rsid w:val="00107C3F"/>
    <w:rsid w:val="001112E8"/>
    <w:rsid w:val="00111490"/>
    <w:rsid w:val="001118DD"/>
    <w:rsid w:val="00113D81"/>
    <w:rsid w:val="00113DE4"/>
    <w:rsid w:val="001145CE"/>
    <w:rsid w:val="00115B6E"/>
    <w:rsid w:val="00116F3B"/>
    <w:rsid w:val="001176F4"/>
    <w:rsid w:val="00117A32"/>
    <w:rsid w:val="00117D7E"/>
    <w:rsid w:val="001200F4"/>
    <w:rsid w:val="00121A8C"/>
    <w:rsid w:val="001235A8"/>
    <w:rsid w:val="00124493"/>
    <w:rsid w:val="00124D97"/>
    <w:rsid w:val="00125E2F"/>
    <w:rsid w:val="00126E51"/>
    <w:rsid w:val="00127078"/>
    <w:rsid w:val="0012722E"/>
    <w:rsid w:val="0012730C"/>
    <w:rsid w:val="00127AF3"/>
    <w:rsid w:val="00127EB4"/>
    <w:rsid w:val="00127F9E"/>
    <w:rsid w:val="00130E6B"/>
    <w:rsid w:val="0013193F"/>
    <w:rsid w:val="00131ACD"/>
    <w:rsid w:val="00132681"/>
    <w:rsid w:val="001333B2"/>
    <w:rsid w:val="001338C2"/>
    <w:rsid w:val="00133E5A"/>
    <w:rsid w:val="001355DC"/>
    <w:rsid w:val="00135601"/>
    <w:rsid w:val="00136AB2"/>
    <w:rsid w:val="001373A3"/>
    <w:rsid w:val="00140BFB"/>
    <w:rsid w:val="00140CE4"/>
    <w:rsid w:val="001410F4"/>
    <w:rsid w:val="001411CF"/>
    <w:rsid w:val="00141AFB"/>
    <w:rsid w:val="00142724"/>
    <w:rsid w:val="00143166"/>
    <w:rsid w:val="001448F5"/>
    <w:rsid w:val="00144B15"/>
    <w:rsid w:val="00144F7C"/>
    <w:rsid w:val="00145792"/>
    <w:rsid w:val="00146211"/>
    <w:rsid w:val="00147741"/>
    <w:rsid w:val="00150078"/>
    <w:rsid w:val="00150C3C"/>
    <w:rsid w:val="0015117F"/>
    <w:rsid w:val="00151A4D"/>
    <w:rsid w:val="00152FD6"/>
    <w:rsid w:val="001532E3"/>
    <w:rsid w:val="00153A7C"/>
    <w:rsid w:val="00153BB7"/>
    <w:rsid w:val="00154506"/>
    <w:rsid w:val="001546E8"/>
    <w:rsid w:val="00154EA3"/>
    <w:rsid w:val="00154F48"/>
    <w:rsid w:val="001551EC"/>
    <w:rsid w:val="00155339"/>
    <w:rsid w:val="001553BA"/>
    <w:rsid w:val="001555CC"/>
    <w:rsid w:val="00155A2C"/>
    <w:rsid w:val="00155A96"/>
    <w:rsid w:val="00155C65"/>
    <w:rsid w:val="00155E38"/>
    <w:rsid w:val="001600CA"/>
    <w:rsid w:val="00160961"/>
    <w:rsid w:val="00162395"/>
    <w:rsid w:val="001626DB"/>
    <w:rsid w:val="00162EC9"/>
    <w:rsid w:val="00162EE0"/>
    <w:rsid w:val="00163AE8"/>
    <w:rsid w:val="00163C3B"/>
    <w:rsid w:val="00163F90"/>
    <w:rsid w:val="00164B9D"/>
    <w:rsid w:val="00165D68"/>
    <w:rsid w:val="00166452"/>
    <w:rsid w:val="00166706"/>
    <w:rsid w:val="0016755D"/>
    <w:rsid w:val="00167920"/>
    <w:rsid w:val="001709F8"/>
    <w:rsid w:val="001711E1"/>
    <w:rsid w:val="0017154E"/>
    <w:rsid w:val="0017173B"/>
    <w:rsid w:val="0017177C"/>
    <w:rsid w:val="001718E6"/>
    <w:rsid w:val="00172782"/>
    <w:rsid w:val="001737B2"/>
    <w:rsid w:val="00173A06"/>
    <w:rsid w:val="00173CBD"/>
    <w:rsid w:val="0017448D"/>
    <w:rsid w:val="00174BD8"/>
    <w:rsid w:val="0017527F"/>
    <w:rsid w:val="00175357"/>
    <w:rsid w:val="00176509"/>
    <w:rsid w:val="001774BE"/>
    <w:rsid w:val="00177A9E"/>
    <w:rsid w:val="00180364"/>
    <w:rsid w:val="00180FCD"/>
    <w:rsid w:val="00181B13"/>
    <w:rsid w:val="00182052"/>
    <w:rsid w:val="001820D1"/>
    <w:rsid w:val="0018273A"/>
    <w:rsid w:val="001836B3"/>
    <w:rsid w:val="00183AD6"/>
    <w:rsid w:val="0018417B"/>
    <w:rsid w:val="00184CC4"/>
    <w:rsid w:val="00184FB1"/>
    <w:rsid w:val="0018533F"/>
    <w:rsid w:val="001854D2"/>
    <w:rsid w:val="001857BE"/>
    <w:rsid w:val="00185E61"/>
    <w:rsid w:val="0018631D"/>
    <w:rsid w:val="00190BA4"/>
    <w:rsid w:val="00191618"/>
    <w:rsid w:val="001922E0"/>
    <w:rsid w:val="00194523"/>
    <w:rsid w:val="00195254"/>
    <w:rsid w:val="0019609D"/>
    <w:rsid w:val="001962AC"/>
    <w:rsid w:val="001962D4"/>
    <w:rsid w:val="00196485"/>
    <w:rsid w:val="001965FA"/>
    <w:rsid w:val="001A2565"/>
    <w:rsid w:val="001A2886"/>
    <w:rsid w:val="001A296C"/>
    <w:rsid w:val="001A2D4D"/>
    <w:rsid w:val="001A3C41"/>
    <w:rsid w:val="001A408A"/>
    <w:rsid w:val="001A6406"/>
    <w:rsid w:val="001A71EC"/>
    <w:rsid w:val="001A7274"/>
    <w:rsid w:val="001A79DE"/>
    <w:rsid w:val="001A7D60"/>
    <w:rsid w:val="001A7F0A"/>
    <w:rsid w:val="001B04EB"/>
    <w:rsid w:val="001B0BEE"/>
    <w:rsid w:val="001B1495"/>
    <w:rsid w:val="001B1675"/>
    <w:rsid w:val="001B2721"/>
    <w:rsid w:val="001B41D1"/>
    <w:rsid w:val="001B556F"/>
    <w:rsid w:val="001B5FD4"/>
    <w:rsid w:val="001B63AE"/>
    <w:rsid w:val="001B6EB6"/>
    <w:rsid w:val="001B72F3"/>
    <w:rsid w:val="001B7CC0"/>
    <w:rsid w:val="001C0399"/>
    <w:rsid w:val="001C0780"/>
    <w:rsid w:val="001C0CAB"/>
    <w:rsid w:val="001C10DD"/>
    <w:rsid w:val="001C138B"/>
    <w:rsid w:val="001C2A35"/>
    <w:rsid w:val="001C2DDF"/>
    <w:rsid w:val="001C3FD1"/>
    <w:rsid w:val="001C427D"/>
    <w:rsid w:val="001C47E1"/>
    <w:rsid w:val="001C5CA9"/>
    <w:rsid w:val="001C5E51"/>
    <w:rsid w:val="001C6460"/>
    <w:rsid w:val="001C6862"/>
    <w:rsid w:val="001C6A46"/>
    <w:rsid w:val="001C6C08"/>
    <w:rsid w:val="001C71D9"/>
    <w:rsid w:val="001C7678"/>
    <w:rsid w:val="001D01C1"/>
    <w:rsid w:val="001D107E"/>
    <w:rsid w:val="001D139F"/>
    <w:rsid w:val="001D1657"/>
    <w:rsid w:val="001D2D0E"/>
    <w:rsid w:val="001D3460"/>
    <w:rsid w:val="001D4253"/>
    <w:rsid w:val="001D492A"/>
    <w:rsid w:val="001D4AEF"/>
    <w:rsid w:val="001D4F99"/>
    <w:rsid w:val="001D5578"/>
    <w:rsid w:val="001D5711"/>
    <w:rsid w:val="001D5B46"/>
    <w:rsid w:val="001D607F"/>
    <w:rsid w:val="001D672A"/>
    <w:rsid w:val="001D783F"/>
    <w:rsid w:val="001E007D"/>
    <w:rsid w:val="001E0617"/>
    <w:rsid w:val="001E07CE"/>
    <w:rsid w:val="001E130D"/>
    <w:rsid w:val="001E1678"/>
    <w:rsid w:val="001E1698"/>
    <w:rsid w:val="001E4509"/>
    <w:rsid w:val="001E4C11"/>
    <w:rsid w:val="001E5695"/>
    <w:rsid w:val="001E6106"/>
    <w:rsid w:val="001E633B"/>
    <w:rsid w:val="001E6748"/>
    <w:rsid w:val="001E6C23"/>
    <w:rsid w:val="001F0209"/>
    <w:rsid w:val="001F2629"/>
    <w:rsid w:val="001F2651"/>
    <w:rsid w:val="001F2F3C"/>
    <w:rsid w:val="001F3685"/>
    <w:rsid w:val="001F3AD5"/>
    <w:rsid w:val="001F3BD3"/>
    <w:rsid w:val="001F40BC"/>
    <w:rsid w:val="001F47F0"/>
    <w:rsid w:val="001F4C79"/>
    <w:rsid w:val="001F5539"/>
    <w:rsid w:val="001F5DEB"/>
    <w:rsid w:val="001F5FD2"/>
    <w:rsid w:val="001F61F8"/>
    <w:rsid w:val="001F695C"/>
    <w:rsid w:val="001F72BD"/>
    <w:rsid w:val="001F7831"/>
    <w:rsid w:val="0020111E"/>
    <w:rsid w:val="0020116D"/>
    <w:rsid w:val="002013F1"/>
    <w:rsid w:val="00201BEC"/>
    <w:rsid w:val="00201CA4"/>
    <w:rsid w:val="002020EA"/>
    <w:rsid w:val="0020212A"/>
    <w:rsid w:val="002027C6"/>
    <w:rsid w:val="00202C4C"/>
    <w:rsid w:val="00203B4E"/>
    <w:rsid w:val="00204320"/>
    <w:rsid w:val="00204B72"/>
    <w:rsid w:val="00204F0A"/>
    <w:rsid w:val="00205231"/>
    <w:rsid w:val="002060EA"/>
    <w:rsid w:val="002074C5"/>
    <w:rsid w:val="00207AC4"/>
    <w:rsid w:val="002100ED"/>
    <w:rsid w:val="002105A1"/>
    <w:rsid w:val="0021193E"/>
    <w:rsid w:val="00211F99"/>
    <w:rsid w:val="0021219E"/>
    <w:rsid w:val="00212D8A"/>
    <w:rsid w:val="00213147"/>
    <w:rsid w:val="0021422D"/>
    <w:rsid w:val="002148AE"/>
    <w:rsid w:val="00215E22"/>
    <w:rsid w:val="002167B5"/>
    <w:rsid w:val="00216AA5"/>
    <w:rsid w:val="00216BE8"/>
    <w:rsid w:val="00217861"/>
    <w:rsid w:val="00217D17"/>
    <w:rsid w:val="0022028A"/>
    <w:rsid w:val="0022049D"/>
    <w:rsid w:val="00220DD3"/>
    <w:rsid w:val="00221129"/>
    <w:rsid w:val="0022179D"/>
    <w:rsid w:val="00221FDB"/>
    <w:rsid w:val="002226C0"/>
    <w:rsid w:val="00225071"/>
    <w:rsid w:val="0022645D"/>
    <w:rsid w:val="002276C5"/>
    <w:rsid w:val="002278DB"/>
    <w:rsid w:val="00227CEA"/>
    <w:rsid w:val="00230B66"/>
    <w:rsid w:val="00230F2F"/>
    <w:rsid w:val="00231721"/>
    <w:rsid w:val="00231F79"/>
    <w:rsid w:val="002332A6"/>
    <w:rsid w:val="00233FFB"/>
    <w:rsid w:val="00234138"/>
    <w:rsid w:val="0023469B"/>
    <w:rsid w:val="002348B5"/>
    <w:rsid w:val="002358CB"/>
    <w:rsid w:val="00236554"/>
    <w:rsid w:val="002365FA"/>
    <w:rsid w:val="002370B4"/>
    <w:rsid w:val="00237588"/>
    <w:rsid w:val="0023764A"/>
    <w:rsid w:val="00240AA3"/>
    <w:rsid w:val="0024158A"/>
    <w:rsid w:val="00242A6E"/>
    <w:rsid w:val="0024311B"/>
    <w:rsid w:val="002436F8"/>
    <w:rsid w:val="00243924"/>
    <w:rsid w:val="00243B25"/>
    <w:rsid w:val="0024421B"/>
    <w:rsid w:val="0024430E"/>
    <w:rsid w:val="00246536"/>
    <w:rsid w:val="00246CA6"/>
    <w:rsid w:val="0024787D"/>
    <w:rsid w:val="00250261"/>
    <w:rsid w:val="00250CC5"/>
    <w:rsid w:val="002510CB"/>
    <w:rsid w:val="0025143B"/>
    <w:rsid w:val="002523C3"/>
    <w:rsid w:val="00252785"/>
    <w:rsid w:val="002528F8"/>
    <w:rsid w:val="0025405A"/>
    <w:rsid w:val="002541B0"/>
    <w:rsid w:val="00254566"/>
    <w:rsid w:val="002547E1"/>
    <w:rsid w:val="002549D7"/>
    <w:rsid w:val="00254AE4"/>
    <w:rsid w:val="00255835"/>
    <w:rsid w:val="00255B0B"/>
    <w:rsid w:val="00255F5B"/>
    <w:rsid w:val="002566F3"/>
    <w:rsid w:val="00257301"/>
    <w:rsid w:val="00257902"/>
    <w:rsid w:val="00260D26"/>
    <w:rsid w:val="00262FB4"/>
    <w:rsid w:val="002633A1"/>
    <w:rsid w:val="00263A3D"/>
    <w:rsid w:val="00264628"/>
    <w:rsid w:val="00264643"/>
    <w:rsid w:val="00264A1D"/>
    <w:rsid w:val="00264C75"/>
    <w:rsid w:val="002654E2"/>
    <w:rsid w:val="00265958"/>
    <w:rsid w:val="00266291"/>
    <w:rsid w:val="0026639E"/>
    <w:rsid w:val="00266B30"/>
    <w:rsid w:val="00270060"/>
    <w:rsid w:val="00270772"/>
    <w:rsid w:val="00270F1B"/>
    <w:rsid w:val="0027134A"/>
    <w:rsid w:val="00271C5E"/>
    <w:rsid w:val="00272115"/>
    <w:rsid w:val="00272289"/>
    <w:rsid w:val="002722A5"/>
    <w:rsid w:val="00272B69"/>
    <w:rsid w:val="00273271"/>
    <w:rsid w:val="002732A4"/>
    <w:rsid w:val="00273584"/>
    <w:rsid w:val="0027365C"/>
    <w:rsid w:val="00273681"/>
    <w:rsid w:val="002746D6"/>
    <w:rsid w:val="0027491C"/>
    <w:rsid w:val="00275249"/>
    <w:rsid w:val="00276804"/>
    <w:rsid w:val="002776DB"/>
    <w:rsid w:val="002778A6"/>
    <w:rsid w:val="00277AE6"/>
    <w:rsid w:val="00277BC2"/>
    <w:rsid w:val="00277CAC"/>
    <w:rsid w:val="00277FCC"/>
    <w:rsid w:val="0028048C"/>
    <w:rsid w:val="00280F19"/>
    <w:rsid w:val="0028133B"/>
    <w:rsid w:val="00281DF4"/>
    <w:rsid w:val="002827E9"/>
    <w:rsid w:val="00283D99"/>
    <w:rsid w:val="00284007"/>
    <w:rsid w:val="002845D4"/>
    <w:rsid w:val="00284626"/>
    <w:rsid w:val="0028693F"/>
    <w:rsid w:val="00286D52"/>
    <w:rsid w:val="00287562"/>
    <w:rsid w:val="00287B17"/>
    <w:rsid w:val="00287F80"/>
    <w:rsid w:val="00290D45"/>
    <w:rsid w:val="00291F17"/>
    <w:rsid w:val="002920F2"/>
    <w:rsid w:val="00292241"/>
    <w:rsid w:val="00292764"/>
    <w:rsid w:val="00292D78"/>
    <w:rsid w:val="0029351A"/>
    <w:rsid w:val="00293A1B"/>
    <w:rsid w:val="00294AE8"/>
    <w:rsid w:val="00294EF6"/>
    <w:rsid w:val="002951FD"/>
    <w:rsid w:val="00295D4C"/>
    <w:rsid w:val="0029640C"/>
    <w:rsid w:val="0029745C"/>
    <w:rsid w:val="00297715"/>
    <w:rsid w:val="002A0261"/>
    <w:rsid w:val="002A0BCB"/>
    <w:rsid w:val="002A0D80"/>
    <w:rsid w:val="002A1647"/>
    <w:rsid w:val="002A2E88"/>
    <w:rsid w:val="002A32AE"/>
    <w:rsid w:val="002A3F08"/>
    <w:rsid w:val="002A41AD"/>
    <w:rsid w:val="002A606F"/>
    <w:rsid w:val="002A69E4"/>
    <w:rsid w:val="002A713C"/>
    <w:rsid w:val="002A72D4"/>
    <w:rsid w:val="002B0082"/>
    <w:rsid w:val="002B02AD"/>
    <w:rsid w:val="002B0310"/>
    <w:rsid w:val="002B03E2"/>
    <w:rsid w:val="002B1630"/>
    <w:rsid w:val="002B347B"/>
    <w:rsid w:val="002B3E96"/>
    <w:rsid w:val="002B48C9"/>
    <w:rsid w:val="002B51F5"/>
    <w:rsid w:val="002B5677"/>
    <w:rsid w:val="002B5C21"/>
    <w:rsid w:val="002B5C9B"/>
    <w:rsid w:val="002B76D0"/>
    <w:rsid w:val="002B7A80"/>
    <w:rsid w:val="002B7AC7"/>
    <w:rsid w:val="002C02BA"/>
    <w:rsid w:val="002C0DEE"/>
    <w:rsid w:val="002C16D5"/>
    <w:rsid w:val="002C18D5"/>
    <w:rsid w:val="002C1A06"/>
    <w:rsid w:val="002C1EA6"/>
    <w:rsid w:val="002C209A"/>
    <w:rsid w:val="002C254F"/>
    <w:rsid w:val="002C3490"/>
    <w:rsid w:val="002C37D1"/>
    <w:rsid w:val="002C4718"/>
    <w:rsid w:val="002C4D9F"/>
    <w:rsid w:val="002C58F1"/>
    <w:rsid w:val="002C6891"/>
    <w:rsid w:val="002C68E9"/>
    <w:rsid w:val="002C6CBD"/>
    <w:rsid w:val="002C73BF"/>
    <w:rsid w:val="002D05DF"/>
    <w:rsid w:val="002D133E"/>
    <w:rsid w:val="002D136D"/>
    <w:rsid w:val="002D151B"/>
    <w:rsid w:val="002D170E"/>
    <w:rsid w:val="002D179E"/>
    <w:rsid w:val="002D1D63"/>
    <w:rsid w:val="002D1D91"/>
    <w:rsid w:val="002D1EA9"/>
    <w:rsid w:val="002D3662"/>
    <w:rsid w:val="002D3A61"/>
    <w:rsid w:val="002D3C52"/>
    <w:rsid w:val="002D5718"/>
    <w:rsid w:val="002D6057"/>
    <w:rsid w:val="002D68DA"/>
    <w:rsid w:val="002D6ACB"/>
    <w:rsid w:val="002D6BAD"/>
    <w:rsid w:val="002D7612"/>
    <w:rsid w:val="002D788A"/>
    <w:rsid w:val="002E022A"/>
    <w:rsid w:val="002E1047"/>
    <w:rsid w:val="002E1A41"/>
    <w:rsid w:val="002E20E0"/>
    <w:rsid w:val="002E21F0"/>
    <w:rsid w:val="002E23B3"/>
    <w:rsid w:val="002E2400"/>
    <w:rsid w:val="002E2759"/>
    <w:rsid w:val="002E278E"/>
    <w:rsid w:val="002E2B97"/>
    <w:rsid w:val="002E2DAC"/>
    <w:rsid w:val="002E3BF3"/>
    <w:rsid w:val="002E4D00"/>
    <w:rsid w:val="002E56BB"/>
    <w:rsid w:val="002E5A65"/>
    <w:rsid w:val="002E5C06"/>
    <w:rsid w:val="002E75D0"/>
    <w:rsid w:val="002F07B8"/>
    <w:rsid w:val="002F08EF"/>
    <w:rsid w:val="002F12AF"/>
    <w:rsid w:val="002F24C4"/>
    <w:rsid w:val="002F410C"/>
    <w:rsid w:val="002F44CE"/>
    <w:rsid w:val="002F4E93"/>
    <w:rsid w:val="002F5532"/>
    <w:rsid w:val="002F6C99"/>
    <w:rsid w:val="002F6D73"/>
    <w:rsid w:val="002F7673"/>
    <w:rsid w:val="002F7A1F"/>
    <w:rsid w:val="002F7BC9"/>
    <w:rsid w:val="002F7E86"/>
    <w:rsid w:val="002F7EBE"/>
    <w:rsid w:val="00300418"/>
    <w:rsid w:val="0030047C"/>
    <w:rsid w:val="003008BD"/>
    <w:rsid w:val="00300E18"/>
    <w:rsid w:val="0030114E"/>
    <w:rsid w:val="003017FE"/>
    <w:rsid w:val="00301F34"/>
    <w:rsid w:val="003030A8"/>
    <w:rsid w:val="00303D67"/>
    <w:rsid w:val="003040FA"/>
    <w:rsid w:val="00304CEF"/>
    <w:rsid w:val="00305090"/>
    <w:rsid w:val="00305604"/>
    <w:rsid w:val="003067C3"/>
    <w:rsid w:val="00306CAD"/>
    <w:rsid w:val="0030702B"/>
    <w:rsid w:val="00307B58"/>
    <w:rsid w:val="00307EF9"/>
    <w:rsid w:val="00307F33"/>
    <w:rsid w:val="003109C2"/>
    <w:rsid w:val="00311729"/>
    <w:rsid w:val="003117CC"/>
    <w:rsid w:val="003130AB"/>
    <w:rsid w:val="00313559"/>
    <w:rsid w:val="00314855"/>
    <w:rsid w:val="00315009"/>
    <w:rsid w:val="003170BB"/>
    <w:rsid w:val="003170C1"/>
    <w:rsid w:val="00320277"/>
    <w:rsid w:val="003206CA"/>
    <w:rsid w:val="003212E5"/>
    <w:rsid w:val="0032163E"/>
    <w:rsid w:val="0032174B"/>
    <w:rsid w:val="00322250"/>
    <w:rsid w:val="003223CE"/>
    <w:rsid w:val="00322893"/>
    <w:rsid w:val="00322987"/>
    <w:rsid w:val="00322A71"/>
    <w:rsid w:val="00322C8E"/>
    <w:rsid w:val="00322D1E"/>
    <w:rsid w:val="00322F33"/>
    <w:rsid w:val="00323585"/>
    <w:rsid w:val="00323E9C"/>
    <w:rsid w:val="003242EA"/>
    <w:rsid w:val="003249E6"/>
    <w:rsid w:val="003259B2"/>
    <w:rsid w:val="00325F97"/>
    <w:rsid w:val="003266B0"/>
    <w:rsid w:val="00327761"/>
    <w:rsid w:val="00327BDB"/>
    <w:rsid w:val="00331CF7"/>
    <w:rsid w:val="00332D27"/>
    <w:rsid w:val="00332E2A"/>
    <w:rsid w:val="003332E9"/>
    <w:rsid w:val="00333D2E"/>
    <w:rsid w:val="00334E92"/>
    <w:rsid w:val="00334EB6"/>
    <w:rsid w:val="00335E39"/>
    <w:rsid w:val="003366BA"/>
    <w:rsid w:val="00337203"/>
    <w:rsid w:val="00337336"/>
    <w:rsid w:val="00337E54"/>
    <w:rsid w:val="003405E7"/>
    <w:rsid w:val="003409F3"/>
    <w:rsid w:val="00340CF3"/>
    <w:rsid w:val="003410DF"/>
    <w:rsid w:val="00342649"/>
    <w:rsid w:val="00342BE4"/>
    <w:rsid w:val="00342CFA"/>
    <w:rsid w:val="00342D51"/>
    <w:rsid w:val="00343672"/>
    <w:rsid w:val="003437F9"/>
    <w:rsid w:val="00343FD0"/>
    <w:rsid w:val="003445BE"/>
    <w:rsid w:val="003449BF"/>
    <w:rsid w:val="00345135"/>
    <w:rsid w:val="003451AE"/>
    <w:rsid w:val="00345D9D"/>
    <w:rsid w:val="00345FE1"/>
    <w:rsid w:val="0034620E"/>
    <w:rsid w:val="00346947"/>
    <w:rsid w:val="00346D85"/>
    <w:rsid w:val="00347C20"/>
    <w:rsid w:val="00350679"/>
    <w:rsid w:val="003541F3"/>
    <w:rsid w:val="003544DB"/>
    <w:rsid w:val="00354BD2"/>
    <w:rsid w:val="00354EE0"/>
    <w:rsid w:val="003555E1"/>
    <w:rsid w:val="00355C1A"/>
    <w:rsid w:val="003563AF"/>
    <w:rsid w:val="00356940"/>
    <w:rsid w:val="00356E7B"/>
    <w:rsid w:val="00360405"/>
    <w:rsid w:val="003604FF"/>
    <w:rsid w:val="00360ECA"/>
    <w:rsid w:val="00361A9E"/>
    <w:rsid w:val="00362410"/>
    <w:rsid w:val="00362635"/>
    <w:rsid w:val="0036286F"/>
    <w:rsid w:val="00363D1B"/>
    <w:rsid w:val="00364B6D"/>
    <w:rsid w:val="00365348"/>
    <w:rsid w:val="00365740"/>
    <w:rsid w:val="00365991"/>
    <w:rsid w:val="00366AD3"/>
    <w:rsid w:val="003675A8"/>
    <w:rsid w:val="0036777E"/>
    <w:rsid w:val="00370295"/>
    <w:rsid w:val="0037252A"/>
    <w:rsid w:val="00372981"/>
    <w:rsid w:val="00373310"/>
    <w:rsid w:val="00373E20"/>
    <w:rsid w:val="00374313"/>
    <w:rsid w:val="003743F7"/>
    <w:rsid w:val="00374C4B"/>
    <w:rsid w:val="00375103"/>
    <w:rsid w:val="00377596"/>
    <w:rsid w:val="003778DD"/>
    <w:rsid w:val="00377BC1"/>
    <w:rsid w:val="00377F48"/>
    <w:rsid w:val="0038061A"/>
    <w:rsid w:val="00380882"/>
    <w:rsid w:val="00380AA6"/>
    <w:rsid w:val="00382041"/>
    <w:rsid w:val="0038249F"/>
    <w:rsid w:val="003829DD"/>
    <w:rsid w:val="00382C95"/>
    <w:rsid w:val="00382CC7"/>
    <w:rsid w:val="00383473"/>
    <w:rsid w:val="0038422B"/>
    <w:rsid w:val="003848E5"/>
    <w:rsid w:val="003851AD"/>
    <w:rsid w:val="003852AC"/>
    <w:rsid w:val="00385EE4"/>
    <w:rsid w:val="00386FE5"/>
    <w:rsid w:val="00387B76"/>
    <w:rsid w:val="00387E41"/>
    <w:rsid w:val="00390F86"/>
    <w:rsid w:val="00392270"/>
    <w:rsid w:val="00392A5D"/>
    <w:rsid w:val="00393106"/>
    <w:rsid w:val="00393130"/>
    <w:rsid w:val="0039340D"/>
    <w:rsid w:val="003935A1"/>
    <w:rsid w:val="003941FE"/>
    <w:rsid w:val="003944B6"/>
    <w:rsid w:val="003946B4"/>
    <w:rsid w:val="003949D4"/>
    <w:rsid w:val="00394FC5"/>
    <w:rsid w:val="0039581E"/>
    <w:rsid w:val="00395C17"/>
    <w:rsid w:val="00396010"/>
    <w:rsid w:val="003A0409"/>
    <w:rsid w:val="003A08B0"/>
    <w:rsid w:val="003A0DBA"/>
    <w:rsid w:val="003A0E74"/>
    <w:rsid w:val="003A1355"/>
    <w:rsid w:val="003A1472"/>
    <w:rsid w:val="003A25FF"/>
    <w:rsid w:val="003A2A83"/>
    <w:rsid w:val="003A3E6F"/>
    <w:rsid w:val="003A47D5"/>
    <w:rsid w:val="003A4AED"/>
    <w:rsid w:val="003A51F0"/>
    <w:rsid w:val="003A6E65"/>
    <w:rsid w:val="003A7122"/>
    <w:rsid w:val="003A7EDA"/>
    <w:rsid w:val="003B1D98"/>
    <w:rsid w:val="003B2313"/>
    <w:rsid w:val="003B3689"/>
    <w:rsid w:val="003B37A3"/>
    <w:rsid w:val="003B4C8B"/>
    <w:rsid w:val="003B50EB"/>
    <w:rsid w:val="003B5461"/>
    <w:rsid w:val="003B5463"/>
    <w:rsid w:val="003B582F"/>
    <w:rsid w:val="003B5BE5"/>
    <w:rsid w:val="003B5E6A"/>
    <w:rsid w:val="003B74A8"/>
    <w:rsid w:val="003B7DA2"/>
    <w:rsid w:val="003C041D"/>
    <w:rsid w:val="003C303F"/>
    <w:rsid w:val="003C38AC"/>
    <w:rsid w:val="003C46A1"/>
    <w:rsid w:val="003C4B56"/>
    <w:rsid w:val="003C6210"/>
    <w:rsid w:val="003C658F"/>
    <w:rsid w:val="003C6623"/>
    <w:rsid w:val="003C6B25"/>
    <w:rsid w:val="003C758A"/>
    <w:rsid w:val="003D0915"/>
    <w:rsid w:val="003D1085"/>
    <w:rsid w:val="003D1726"/>
    <w:rsid w:val="003D17B1"/>
    <w:rsid w:val="003D19B1"/>
    <w:rsid w:val="003D2787"/>
    <w:rsid w:val="003D2DF8"/>
    <w:rsid w:val="003D2E03"/>
    <w:rsid w:val="003D2F18"/>
    <w:rsid w:val="003D32D0"/>
    <w:rsid w:val="003D42D5"/>
    <w:rsid w:val="003D46AC"/>
    <w:rsid w:val="003D4CAF"/>
    <w:rsid w:val="003D54C1"/>
    <w:rsid w:val="003D6596"/>
    <w:rsid w:val="003D774B"/>
    <w:rsid w:val="003E077A"/>
    <w:rsid w:val="003E0977"/>
    <w:rsid w:val="003E1378"/>
    <w:rsid w:val="003E288F"/>
    <w:rsid w:val="003E2963"/>
    <w:rsid w:val="003E2ACE"/>
    <w:rsid w:val="003E3198"/>
    <w:rsid w:val="003E33BB"/>
    <w:rsid w:val="003E3460"/>
    <w:rsid w:val="003E451A"/>
    <w:rsid w:val="003E4E95"/>
    <w:rsid w:val="003E4F54"/>
    <w:rsid w:val="003E5885"/>
    <w:rsid w:val="003E5E96"/>
    <w:rsid w:val="003E660C"/>
    <w:rsid w:val="003F29FF"/>
    <w:rsid w:val="003F36A2"/>
    <w:rsid w:val="003F491A"/>
    <w:rsid w:val="003F5727"/>
    <w:rsid w:val="003F6188"/>
    <w:rsid w:val="003F627A"/>
    <w:rsid w:val="003F629D"/>
    <w:rsid w:val="003F67FD"/>
    <w:rsid w:val="003F7C77"/>
    <w:rsid w:val="0040017D"/>
    <w:rsid w:val="004002A5"/>
    <w:rsid w:val="004004A7"/>
    <w:rsid w:val="00400EC8"/>
    <w:rsid w:val="00401F3F"/>
    <w:rsid w:val="004021BB"/>
    <w:rsid w:val="00402C14"/>
    <w:rsid w:val="004036A0"/>
    <w:rsid w:val="004043FF"/>
    <w:rsid w:val="00404A07"/>
    <w:rsid w:val="00405233"/>
    <w:rsid w:val="00405C26"/>
    <w:rsid w:val="004063B9"/>
    <w:rsid w:val="0040662B"/>
    <w:rsid w:val="0040691C"/>
    <w:rsid w:val="0040694A"/>
    <w:rsid w:val="0041107E"/>
    <w:rsid w:val="00411241"/>
    <w:rsid w:val="004112F1"/>
    <w:rsid w:val="004119FC"/>
    <w:rsid w:val="004120A6"/>
    <w:rsid w:val="00412327"/>
    <w:rsid w:val="00413EC7"/>
    <w:rsid w:val="00413FA8"/>
    <w:rsid w:val="0041465D"/>
    <w:rsid w:val="00414744"/>
    <w:rsid w:val="004148CF"/>
    <w:rsid w:val="00414F65"/>
    <w:rsid w:val="0041621C"/>
    <w:rsid w:val="00416401"/>
    <w:rsid w:val="004166B2"/>
    <w:rsid w:val="00420247"/>
    <w:rsid w:val="00420524"/>
    <w:rsid w:val="00421639"/>
    <w:rsid w:val="004218C2"/>
    <w:rsid w:val="00421BDF"/>
    <w:rsid w:val="00422FF6"/>
    <w:rsid w:val="0042385F"/>
    <w:rsid w:val="00423A85"/>
    <w:rsid w:val="00423C1D"/>
    <w:rsid w:val="0042426B"/>
    <w:rsid w:val="004249B6"/>
    <w:rsid w:val="004249C6"/>
    <w:rsid w:val="00426478"/>
    <w:rsid w:val="00426825"/>
    <w:rsid w:val="00427637"/>
    <w:rsid w:val="00430D0A"/>
    <w:rsid w:val="00431AC7"/>
    <w:rsid w:val="00431D25"/>
    <w:rsid w:val="00432ED0"/>
    <w:rsid w:val="00433A17"/>
    <w:rsid w:val="00433B53"/>
    <w:rsid w:val="00433C3B"/>
    <w:rsid w:val="00433E3F"/>
    <w:rsid w:val="00434058"/>
    <w:rsid w:val="00434141"/>
    <w:rsid w:val="0043468D"/>
    <w:rsid w:val="00434E90"/>
    <w:rsid w:val="00435345"/>
    <w:rsid w:val="00435E6F"/>
    <w:rsid w:val="00436AEB"/>
    <w:rsid w:val="00437B49"/>
    <w:rsid w:val="00437F62"/>
    <w:rsid w:val="0044062C"/>
    <w:rsid w:val="0044075E"/>
    <w:rsid w:val="0044106C"/>
    <w:rsid w:val="004412DA"/>
    <w:rsid w:val="0044168D"/>
    <w:rsid w:val="0044182B"/>
    <w:rsid w:val="00442165"/>
    <w:rsid w:val="004429EE"/>
    <w:rsid w:val="00442F8F"/>
    <w:rsid w:val="00443A1A"/>
    <w:rsid w:val="00444925"/>
    <w:rsid w:val="00445534"/>
    <w:rsid w:val="004459C0"/>
    <w:rsid w:val="00446397"/>
    <w:rsid w:val="00446E6C"/>
    <w:rsid w:val="00450831"/>
    <w:rsid w:val="004508CF"/>
    <w:rsid w:val="00451427"/>
    <w:rsid w:val="00451EF7"/>
    <w:rsid w:val="00452508"/>
    <w:rsid w:val="00452976"/>
    <w:rsid w:val="0045330C"/>
    <w:rsid w:val="004535A5"/>
    <w:rsid w:val="0045378A"/>
    <w:rsid w:val="004538D0"/>
    <w:rsid w:val="00453C01"/>
    <w:rsid w:val="00454527"/>
    <w:rsid w:val="00454BD1"/>
    <w:rsid w:val="00455170"/>
    <w:rsid w:val="004553FF"/>
    <w:rsid w:val="004555D1"/>
    <w:rsid w:val="0045584C"/>
    <w:rsid w:val="00456845"/>
    <w:rsid w:val="004570B6"/>
    <w:rsid w:val="00457329"/>
    <w:rsid w:val="004602AF"/>
    <w:rsid w:val="004606C4"/>
    <w:rsid w:val="00460DC7"/>
    <w:rsid w:val="00461106"/>
    <w:rsid w:val="00461231"/>
    <w:rsid w:val="0046148A"/>
    <w:rsid w:val="00461A2F"/>
    <w:rsid w:val="00461C55"/>
    <w:rsid w:val="00462A38"/>
    <w:rsid w:val="00462CC2"/>
    <w:rsid w:val="004638BD"/>
    <w:rsid w:val="00463A7E"/>
    <w:rsid w:val="00463CFA"/>
    <w:rsid w:val="00463EEC"/>
    <w:rsid w:val="00464E5A"/>
    <w:rsid w:val="00465278"/>
    <w:rsid w:val="00465EA6"/>
    <w:rsid w:val="0046615F"/>
    <w:rsid w:val="00466432"/>
    <w:rsid w:val="00467BDC"/>
    <w:rsid w:val="00467D02"/>
    <w:rsid w:val="00470490"/>
    <w:rsid w:val="004718AE"/>
    <w:rsid w:val="00471EFA"/>
    <w:rsid w:val="00472F64"/>
    <w:rsid w:val="004739C9"/>
    <w:rsid w:val="00473DC9"/>
    <w:rsid w:val="00475602"/>
    <w:rsid w:val="00476FAC"/>
    <w:rsid w:val="00477052"/>
    <w:rsid w:val="00477263"/>
    <w:rsid w:val="004779B7"/>
    <w:rsid w:val="004803AE"/>
    <w:rsid w:val="00480ADC"/>
    <w:rsid w:val="00481603"/>
    <w:rsid w:val="00481827"/>
    <w:rsid w:val="00482B5F"/>
    <w:rsid w:val="00483B2E"/>
    <w:rsid w:val="00483B6F"/>
    <w:rsid w:val="00483C95"/>
    <w:rsid w:val="00483CDE"/>
    <w:rsid w:val="00483D13"/>
    <w:rsid w:val="00484E58"/>
    <w:rsid w:val="00484E77"/>
    <w:rsid w:val="00486644"/>
    <w:rsid w:val="004878D7"/>
    <w:rsid w:val="00487CB3"/>
    <w:rsid w:val="004909F8"/>
    <w:rsid w:val="00490DAB"/>
    <w:rsid w:val="004919B1"/>
    <w:rsid w:val="0049200A"/>
    <w:rsid w:val="00494822"/>
    <w:rsid w:val="0049483D"/>
    <w:rsid w:val="0049490F"/>
    <w:rsid w:val="00494CFA"/>
    <w:rsid w:val="00494E3C"/>
    <w:rsid w:val="0049555C"/>
    <w:rsid w:val="004955B1"/>
    <w:rsid w:val="00496522"/>
    <w:rsid w:val="004967D9"/>
    <w:rsid w:val="00496A78"/>
    <w:rsid w:val="00497304"/>
    <w:rsid w:val="004976D5"/>
    <w:rsid w:val="00497A95"/>
    <w:rsid w:val="00497DFE"/>
    <w:rsid w:val="004A0219"/>
    <w:rsid w:val="004A0DD2"/>
    <w:rsid w:val="004A1041"/>
    <w:rsid w:val="004A1209"/>
    <w:rsid w:val="004A16FA"/>
    <w:rsid w:val="004A2C0B"/>
    <w:rsid w:val="004A2DDA"/>
    <w:rsid w:val="004A3545"/>
    <w:rsid w:val="004A3BA6"/>
    <w:rsid w:val="004A3F17"/>
    <w:rsid w:val="004A4466"/>
    <w:rsid w:val="004A4865"/>
    <w:rsid w:val="004A520C"/>
    <w:rsid w:val="004A575B"/>
    <w:rsid w:val="004A6361"/>
    <w:rsid w:val="004A686B"/>
    <w:rsid w:val="004A694B"/>
    <w:rsid w:val="004A719A"/>
    <w:rsid w:val="004A7641"/>
    <w:rsid w:val="004A7C1C"/>
    <w:rsid w:val="004B0119"/>
    <w:rsid w:val="004B0356"/>
    <w:rsid w:val="004B0EB1"/>
    <w:rsid w:val="004B16CC"/>
    <w:rsid w:val="004B1E8E"/>
    <w:rsid w:val="004B2965"/>
    <w:rsid w:val="004B2FB8"/>
    <w:rsid w:val="004B30F3"/>
    <w:rsid w:val="004B3746"/>
    <w:rsid w:val="004B396F"/>
    <w:rsid w:val="004B3BD0"/>
    <w:rsid w:val="004B4950"/>
    <w:rsid w:val="004B5902"/>
    <w:rsid w:val="004B6714"/>
    <w:rsid w:val="004B67EF"/>
    <w:rsid w:val="004B6B04"/>
    <w:rsid w:val="004C02EA"/>
    <w:rsid w:val="004C072E"/>
    <w:rsid w:val="004C0895"/>
    <w:rsid w:val="004C0DD4"/>
    <w:rsid w:val="004C1960"/>
    <w:rsid w:val="004C19FC"/>
    <w:rsid w:val="004C27A6"/>
    <w:rsid w:val="004C383D"/>
    <w:rsid w:val="004C3F5A"/>
    <w:rsid w:val="004C5D48"/>
    <w:rsid w:val="004C647B"/>
    <w:rsid w:val="004C69B3"/>
    <w:rsid w:val="004C6D86"/>
    <w:rsid w:val="004D0BB0"/>
    <w:rsid w:val="004D1230"/>
    <w:rsid w:val="004D1C75"/>
    <w:rsid w:val="004D20ED"/>
    <w:rsid w:val="004D22E4"/>
    <w:rsid w:val="004D2C68"/>
    <w:rsid w:val="004D34FF"/>
    <w:rsid w:val="004D3547"/>
    <w:rsid w:val="004D4CBB"/>
    <w:rsid w:val="004D4D34"/>
    <w:rsid w:val="004D52FD"/>
    <w:rsid w:val="004D57DF"/>
    <w:rsid w:val="004D58B0"/>
    <w:rsid w:val="004D6948"/>
    <w:rsid w:val="004D6CBD"/>
    <w:rsid w:val="004D7215"/>
    <w:rsid w:val="004D7806"/>
    <w:rsid w:val="004D7A8C"/>
    <w:rsid w:val="004E030F"/>
    <w:rsid w:val="004E0C8F"/>
    <w:rsid w:val="004E172C"/>
    <w:rsid w:val="004E26C1"/>
    <w:rsid w:val="004E31B1"/>
    <w:rsid w:val="004E420C"/>
    <w:rsid w:val="004E528E"/>
    <w:rsid w:val="004E55F6"/>
    <w:rsid w:val="004E5718"/>
    <w:rsid w:val="004E5909"/>
    <w:rsid w:val="004E6006"/>
    <w:rsid w:val="004E61EA"/>
    <w:rsid w:val="004F0480"/>
    <w:rsid w:val="004F1B76"/>
    <w:rsid w:val="004F3006"/>
    <w:rsid w:val="004F4E18"/>
    <w:rsid w:val="004F5235"/>
    <w:rsid w:val="004F532E"/>
    <w:rsid w:val="004F55F2"/>
    <w:rsid w:val="004F6088"/>
    <w:rsid w:val="004F6185"/>
    <w:rsid w:val="004F63B4"/>
    <w:rsid w:val="004F6EE9"/>
    <w:rsid w:val="004F7438"/>
    <w:rsid w:val="00500653"/>
    <w:rsid w:val="0050099B"/>
    <w:rsid w:val="00500DD3"/>
    <w:rsid w:val="00500EB8"/>
    <w:rsid w:val="0050270F"/>
    <w:rsid w:val="00504157"/>
    <w:rsid w:val="005043EF"/>
    <w:rsid w:val="00504C46"/>
    <w:rsid w:val="00505021"/>
    <w:rsid w:val="00505B43"/>
    <w:rsid w:val="0050604B"/>
    <w:rsid w:val="00506C97"/>
    <w:rsid w:val="00506D43"/>
    <w:rsid w:val="00507D7A"/>
    <w:rsid w:val="00510468"/>
    <w:rsid w:val="00510BC9"/>
    <w:rsid w:val="00511366"/>
    <w:rsid w:val="00512283"/>
    <w:rsid w:val="0051251C"/>
    <w:rsid w:val="0051335E"/>
    <w:rsid w:val="005148C0"/>
    <w:rsid w:val="00515326"/>
    <w:rsid w:val="005156F4"/>
    <w:rsid w:val="00515FD4"/>
    <w:rsid w:val="0051701D"/>
    <w:rsid w:val="005172DD"/>
    <w:rsid w:val="00517895"/>
    <w:rsid w:val="00517C86"/>
    <w:rsid w:val="005202D3"/>
    <w:rsid w:val="00520710"/>
    <w:rsid w:val="00520951"/>
    <w:rsid w:val="00521101"/>
    <w:rsid w:val="00521355"/>
    <w:rsid w:val="00522322"/>
    <w:rsid w:val="005239B4"/>
    <w:rsid w:val="00523A53"/>
    <w:rsid w:val="0052677F"/>
    <w:rsid w:val="00526B71"/>
    <w:rsid w:val="005278C8"/>
    <w:rsid w:val="00527B00"/>
    <w:rsid w:val="00527F1E"/>
    <w:rsid w:val="00530081"/>
    <w:rsid w:val="005302B2"/>
    <w:rsid w:val="00530B77"/>
    <w:rsid w:val="00530D8F"/>
    <w:rsid w:val="00531917"/>
    <w:rsid w:val="005325E5"/>
    <w:rsid w:val="00532653"/>
    <w:rsid w:val="00533168"/>
    <w:rsid w:val="005334BF"/>
    <w:rsid w:val="005335AE"/>
    <w:rsid w:val="00533C1F"/>
    <w:rsid w:val="005351D1"/>
    <w:rsid w:val="005366D7"/>
    <w:rsid w:val="0054041C"/>
    <w:rsid w:val="005407BC"/>
    <w:rsid w:val="00540864"/>
    <w:rsid w:val="0054155C"/>
    <w:rsid w:val="00541866"/>
    <w:rsid w:val="00541EAC"/>
    <w:rsid w:val="005423D0"/>
    <w:rsid w:val="00543647"/>
    <w:rsid w:val="00543F9E"/>
    <w:rsid w:val="00544ADF"/>
    <w:rsid w:val="00544AF2"/>
    <w:rsid w:val="00545660"/>
    <w:rsid w:val="0054570C"/>
    <w:rsid w:val="005458BB"/>
    <w:rsid w:val="005462B9"/>
    <w:rsid w:val="005462EF"/>
    <w:rsid w:val="0054675E"/>
    <w:rsid w:val="00546B1D"/>
    <w:rsid w:val="00547144"/>
    <w:rsid w:val="0054764C"/>
    <w:rsid w:val="00547867"/>
    <w:rsid w:val="00550272"/>
    <w:rsid w:val="0055077C"/>
    <w:rsid w:val="0055102F"/>
    <w:rsid w:val="0055195D"/>
    <w:rsid w:val="00551CFB"/>
    <w:rsid w:val="005529F2"/>
    <w:rsid w:val="00552C41"/>
    <w:rsid w:val="005532B8"/>
    <w:rsid w:val="005534D1"/>
    <w:rsid w:val="00554E2F"/>
    <w:rsid w:val="005559C5"/>
    <w:rsid w:val="005562F4"/>
    <w:rsid w:val="00556D3B"/>
    <w:rsid w:val="005571B6"/>
    <w:rsid w:val="005604E3"/>
    <w:rsid w:val="00561361"/>
    <w:rsid w:val="00561EC5"/>
    <w:rsid w:val="00561FA8"/>
    <w:rsid w:val="00562FD6"/>
    <w:rsid w:val="005655E2"/>
    <w:rsid w:val="00565635"/>
    <w:rsid w:val="00565A31"/>
    <w:rsid w:val="00565EC6"/>
    <w:rsid w:val="00567644"/>
    <w:rsid w:val="00567CE3"/>
    <w:rsid w:val="005703DC"/>
    <w:rsid w:val="00571300"/>
    <w:rsid w:val="005722F4"/>
    <w:rsid w:val="005723FF"/>
    <w:rsid w:val="00572BFE"/>
    <w:rsid w:val="0057391C"/>
    <w:rsid w:val="00573E13"/>
    <w:rsid w:val="0057412D"/>
    <w:rsid w:val="005741F8"/>
    <w:rsid w:val="005748D3"/>
    <w:rsid w:val="00574FAF"/>
    <w:rsid w:val="005750C5"/>
    <w:rsid w:val="0057529C"/>
    <w:rsid w:val="00575629"/>
    <w:rsid w:val="0057669B"/>
    <w:rsid w:val="005772FE"/>
    <w:rsid w:val="00577304"/>
    <w:rsid w:val="005775CC"/>
    <w:rsid w:val="005776DF"/>
    <w:rsid w:val="00581604"/>
    <w:rsid w:val="00581770"/>
    <w:rsid w:val="00581E27"/>
    <w:rsid w:val="005824D6"/>
    <w:rsid w:val="00582A7E"/>
    <w:rsid w:val="005830BB"/>
    <w:rsid w:val="0058353B"/>
    <w:rsid w:val="00585548"/>
    <w:rsid w:val="00585919"/>
    <w:rsid w:val="00586D4D"/>
    <w:rsid w:val="0058767A"/>
    <w:rsid w:val="005877C3"/>
    <w:rsid w:val="005910B9"/>
    <w:rsid w:val="0059132E"/>
    <w:rsid w:val="00591920"/>
    <w:rsid w:val="00592C4A"/>
    <w:rsid w:val="00592D08"/>
    <w:rsid w:val="00593033"/>
    <w:rsid w:val="0059596D"/>
    <w:rsid w:val="00595A67"/>
    <w:rsid w:val="00596B80"/>
    <w:rsid w:val="00597374"/>
    <w:rsid w:val="00597E3F"/>
    <w:rsid w:val="005A2836"/>
    <w:rsid w:val="005A2A1A"/>
    <w:rsid w:val="005A33F2"/>
    <w:rsid w:val="005A3481"/>
    <w:rsid w:val="005A39A2"/>
    <w:rsid w:val="005A5128"/>
    <w:rsid w:val="005A5877"/>
    <w:rsid w:val="005A5E7A"/>
    <w:rsid w:val="005A68BE"/>
    <w:rsid w:val="005A742E"/>
    <w:rsid w:val="005A7484"/>
    <w:rsid w:val="005A7488"/>
    <w:rsid w:val="005A7A8E"/>
    <w:rsid w:val="005B0AA9"/>
    <w:rsid w:val="005B1F4A"/>
    <w:rsid w:val="005B2475"/>
    <w:rsid w:val="005B2916"/>
    <w:rsid w:val="005B3FDA"/>
    <w:rsid w:val="005B5026"/>
    <w:rsid w:val="005B707C"/>
    <w:rsid w:val="005B7270"/>
    <w:rsid w:val="005B7595"/>
    <w:rsid w:val="005B769B"/>
    <w:rsid w:val="005B7B97"/>
    <w:rsid w:val="005B7DE1"/>
    <w:rsid w:val="005C0542"/>
    <w:rsid w:val="005C07C5"/>
    <w:rsid w:val="005C0905"/>
    <w:rsid w:val="005C0B2C"/>
    <w:rsid w:val="005C1D6E"/>
    <w:rsid w:val="005C28E1"/>
    <w:rsid w:val="005C2FF8"/>
    <w:rsid w:val="005C39D5"/>
    <w:rsid w:val="005C3A1E"/>
    <w:rsid w:val="005C4443"/>
    <w:rsid w:val="005C44F4"/>
    <w:rsid w:val="005C5927"/>
    <w:rsid w:val="005C631C"/>
    <w:rsid w:val="005C69BA"/>
    <w:rsid w:val="005C7502"/>
    <w:rsid w:val="005D05B0"/>
    <w:rsid w:val="005D08D5"/>
    <w:rsid w:val="005D0C22"/>
    <w:rsid w:val="005D1223"/>
    <w:rsid w:val="005D19CD"/>
    <w:rsid w:val="005D20CE"/>
    <w:rsid w:val="005D3B3B"/>
    <w:rsid w:val="005D4455"/>
    <w:rsid w:val="005D649F"/>
    <w:rsid w:val="005D6862"/>
    <w:rsid w:val="005D692B"/>
    <w:rsid w:val="005D6A62"/>
    <w:rsid w:val="005D6BA8"/>
    <w:rsid w:val="005D7A51"/>
    <w:rsid w:val="005D7A9F"/>
    <w:rsid w:val="005E0A8C"/>
    <w:rsid w:val="005E0C55"/>
    <w:rsid w:val="005E41A3"/>
    <w:rsid w:val="005E47D2"/>
    <w:rsid w:val="005E497B"/>
    <w:rsid w:val="005F0290"/>
    <w:rsid w:val="005F0B0A"/>
    <w:rsid w:val="005F0CD7"/>
    <w:rsid w:val="005F1BA2"/>
    <w:rsid w:val="005F2DF4"/>
    <w:rsid w:val="005F3E05"/>
    <w:rsid w:val="005F466D"/>
    <w:rsid w:val="005F5435"/>
    <w:rsid w:val="005F63D8"/>
    <w:rsid w:val="005F67CD"/>
    <w:rsid w:val="005F75A2"/>
    <w:rsid w:val="006001C8"/>
    <w:rsid w:val="00600A27"/>
    <w:rsid w:val="00600F1D"/>
    <w:rsid w:val="006013A6"/>
    <w:rsid w:val="00601428"/>
    <w:rsid w:val="006015EA"/>
    <w:rsid w:val="006025CB"/>
    <w:rsid w:val="006032F1"/>
    <w:rsid w:val="006036EB"/>
    <w:rsid w:val="00603C4A"/>
    <w:rsid w:val="00603DF2"/>
    <w:rsid w:val="006044E5"/>
    <w:rsid w:val="006047D0"/>
    <w:rsid w:val="00604914"/>
    <w:rsid w:val="00604F33"/>
    <w:rsid w:val="00606459"/>
    <w:rsid w:val="0060658A"/>
    <w:rsid w:val="00607ADD"/>
    <w:rsid w:val="006107D1"/>
    <w:rsid w:val="00610C5C"/>
    <w:rsid w:val="006112C4"/>
    <w:rsid w:val="006125BC"/>
    <w:rsid w:val="00613FEB"/>
    <w:rsid w:val="0061405B"/>
    <w:rsid w:val="00615D21"/>
    <w:rsid w:val="0061619A"/>
    <w:rsid w:val="006163C4"/>
    <w:rsid w:val="006173D7"/>
    <w:rsid w:val="00617E4B"/>
    <w:rsid w:val="00620449"/>
    <w:rsid w:val="00620AB9"/>
    <w:rsid w:val="00620CD7"/>
    <w:rsid w:val="00620ECE"/>
    <w:rsid w:val="006217F8"/>
    <w:rsid w:val="006220A5"/>
    <w:rsid w:val="0062294C"/>
    <w:rsid w:val="0062347D"/>
    <w:rsid w:val="00623B09"/>
    <w:rsid w:val="0062408A"/>
    <w:rsid w:val="00624241"/>
    <w:rsid w:val="006245CA"/>
    <w:rsid w:val="00624AD7"/>
    <w:rsid w:val="00625FE0"/>
    <w:rsid w:val="0062624A"/>
    <w:rsid w:val="00626738"/>
    <w:rsid w:val="006272DF"/>
    <w:rsid w:val="00627713"/>
    <w:rsid w:val="00630367"/>
    <w:rsid w:val="006308B7"/>
    <w:rsid w:val="00630A62"/>
    <w:rsid w:val="006313C8"/>
    <w:rsid w:val="00632682"/>
    <w:rsid w:val="00632725"/>
    <w:rsid w:val="0063347B"/>
    <w:rsid w:val="00633DBF"/>
    <w:rsid w:val="00633E36"/>
    <w:rsid w:val="006355FC"/>
    <w:rsid w:val="00635FA0"/>
    <w:rsid w:val="00636A63"/>
    <w:rsid w:val="00637720"/>
    <w:rsid w:val="00640488"/>
    <w:rsid w:val="0064066C"/>
    <w:rsid w:val="006407A6"/>
    <w:rsid w:val="00640828"/>
    <w:rsid w:val="006417E2"/>
    <w:rsid w:val="006425E8"/>
    <w:rsid w:val="00642625"/>
    <w:rsid w:val="00642665"/>
    <w:rsid w:val="00643764"/>
    <w:rsid w:val="00644085"/>
    <w:rsid w:val="00644812"/>
    <w:rsid w:val="00644E9F"/>
    <w:rsid w:val="00645458"/>
    <w:rsid w:val="00645EDC"/>
    <w:rsid w:val="0064684D"/>
    <w:rsid w:val="00647019"/>
    <w:rsid w:val="0064786F"/>
    <w:rsid w:val="006506FD"/>
    <w:rsid w:val="00650B09"/>
    <w:rsid w:val="00651F5D"/>
    <w:rsid w:val="006524F3"/>
    <w:rsid w:val="00652586"/>
    <w:rsid w:val="00652835"/>
    <w:rsid w:val="0065309B"/>
    <w:rsid w:val="006531DF"/>
    <w:rsid w:val="006537A4"/>
    <w:rsid w:val="00653EEA"/>
    <w:rsid w:val="0065495A"/>
    <w:rsid w:val="00655C9B"/>
    <w:rsid w:val="00656DB5"/>
    <w:rsid w:val="006572B1"/>
    <w:rsid w:val="00657419"/>
    <w:rsid w:val="0065781F"/>
    <w:rsid w:val="00661558"/>
    <w:rsid w:val="006622B8"/>
    <w:rsid w:val="0066279A"/>
    <w:rsid w:val="006630C1"/>
    <w:rsid w:val="0066314C"/>
    <w:rsid w:val="00663299"/>
    <w:rsid w:val="0066333F"/>
    <w:rsid w:val="006635FE"/>
    <w:rsid w:val="00663679"/>
    <w:rsid w:val="00663929"/>
    <w:rsid w:val="00663D7D"/>
    <w:rsid w:val="006643BC"/>
    <w:rsid w:val="0066448D"/>
    <w:rsid w:val="00664587"/>
    <w:rsid w:val="0066461F"/>
    <w:rsid w:val="00666A51"/>
    <w:rsid w:val="00666B11"/>
    <w:rsid w:val="006676D5"/>
    <w:rsid w:val="006678C0"/>
    <w:rsid w:val="006706FF"/>
    <w:rsid w:val="00670CD3"/>
    <w:rsid w:val="00670FF2"/>
    <w:rsid w:val="00671896"/>
    <w:rsid w:val="00672D95"/>
    <w:rsid w:val="00672FF2"/>
    <w:rsid w:val="006738B2"/>
    <w:rsid w:val="00673B85"/>
    <w:rsid w:val="00673F37"/>
    <w:rsid w:val="00674BCD"/>
    <w:rsid w:val="00674FCE"/>
    <w:rsid w:val="00675913"/>
    <w:rsid w:val="00677BBB"/>
    <w:rsid w:val="00677E24"/>
    <w:rsid w:val="006808B4"/>
    <w:rsid w:val="00680FC0"/>
    <w:rsid w:val="00681D98"/>
    <w:rsid w:val="0068227B"/>
    <w:rsid w:val="00682653"/>
    <w:rsid w:val="006829BD"/>
    <w:rsid w:val="00682C00"/>
    <w:rsid w:val="00682D73"/>
    <w:rsid w:val="00683A0D"/>
    <w:rsid w:val="0068454D"/>
    <w:rsid w:val="00684AC5"/>
    <w:rsid w:val="00684B5B"/>
    <w:rsid w:val="006858EA"/>
    <w:rsid w:val="00686879"/>
    <w:rsid w:val="00686948"/>
    <w:rsid w:val="00686AB5"/>
    <w:rsid w:val="006873D3"/>
    <w:rsid w:val="0068756E"/>
    <w:rsid w:val="00690525"/>
    <w:rsid w:val="0069134E"/>
    <w:rsid w:val="0069138B"/>
    <w:rsid w:val="00691CBD"/>
    <w:rsid w:val="006927EC"/>
    <w:rsid w:val="00692C17"/>
    <w:rsid w:val="0069367A"/>
    <w:rsid w:val="00693ACE"/>
    <w:rsid w:val="00693EA8"/>
    <w:rsid w:val="006951D2"/>
    <w:rsid w:val="0069548A"/>
    <w:rsid w:val="00695F15"/>
    <w:rsid w:val="00696412"/>
    <w:rsid w:val="00696AC0"/>
    <w:rsid w:val="00696D72"/>
    <w:rsid w:val="00697787"/>
    <w:rsid w:val="006A0176"/>
    <w:rsid w:val="006A1207"/>
    <w:rsid w:val="006A1ECA"/>
    <w:rsid w:val="006A3333"/>
    <w:rsid w:val="006A3C62"/>
    <w:rsid w:val="006A3D44"/>
    <w:rsid w:val="006A4113"/>
    <w:rsid w:val="006A5743"/>
    <w:rsid w:val="006A6311"/>
    <w:rsid w:val="006B17A8"/>
    <w:rsid w:val="006B292F"/>
    <w:rsid w:val="006B2D67"/>
    <w:rsid w:val="006B3328"/>
    <w:rsid w:val="006B3BC7"/>
    <w:rsid w:val="006B7E1B"/>
    <w:rsid w:val="006B7E59"/>
    <w:rsid w:val="006B7F58"/>
    <w:rsid w:val="006C05FE"/>
    <w:rsid w:val="006C200E"/>
    <w:rsid w:val="006C21E9"/>
    <w:rsid w:val="006C305E"/>
    <w:rsid w:val="006C3AC0"/>
    <w:rsid w:val="006C4AED"/>
    <w:rsid w:val="006C4F0A"/>
    <w:rsid w:val="006C52F2"/>
    <w:rsid w:val="006C6587"/>
    <w:rsid w:val="006D092A"/>
    <w:rsid w:val="006D1D81"/>
    <w:rsid w:val="006D2A92"/>
    <w:rsid w:val="006D3428"/>
    <w:rsid w:val="006D3506"/>
    <w:rsid w:val="006D4B5A"/>
    <w:rsid w:val="006D4C1E"/>
    <w:rsid w:val="006D4FF8"/>
    <w:rsid w:val="006D5564"/>
    <w:rsid w:val="006D6748"/>
    <w:rsid w:val="006D6D26"/>
    <w:rsid w:val="006D714B"/>
    <w:rsid w:val="006E23EA"/>
    <w:rsid w:val="006E256A"/>
    <w:rsid w:val="006E2B3B"/>
    <w:rsid w:val="006E2D54"/>
    <w:rsid w:val="006E2F60"/>
    <w:rsid w:val="006E394C"/>
    <w:rsid w:val="006E3A75"/>
    <w:rsid w:val="006E3D73"/>
    <w:rsid w:val="006E417A"/>
    <w:rsid w:val="006E6595"/>
    <w:rsid w:val="006E75CA"/>
    <w:rsid w:val="006F0068"/>
    <w:rsid w:val="006F02E3"/>
    <w:rsid w:val="006F0417"/>
    <w:rsid w:val="006F19D7"/>
    <w:rsid w:val="006F2A07"/>
    <w:rsid w:val="006F322D"/>
    <w:rsid w:val="006F33EE"/>
    <w:rsid w:val="006F45D4"/>
    <w:rsid w:val="006F466E"/>
    <w:rsid w:val="006F4A45"/>
    <w:rsid w:val="006F4ACD"/>
    <w:rsid w:val="006F60F2"/>
    <w:rsid w:val="006F6838"/>
    <w:rsid w:val="006F68C7"/>
    <w:rsid w:val="006F798F"/>
    <w:rsid w:val="006F7A77"/>
    <w:rsid w:val="0070038C"/>
    <w:rsid w:val="00701C1D"/>
    <w:rsid w:val="00702C8C"/>
    <w:rsid w:val="00703A34"/>
    <w:rsid w:val="00703A47"/>
    <w:rsid w:val="00704420"/>
    <w:rsid w:val="00704CCF"/>
    <w:rsid w:val="0070630E"/>
    <w:rsid w:val="007075C4"/>
    <w:rsid w:val="007079FD"/>
    <w:rsid w:val="00707E3F"/>
    <w:rsid w:val="007101E1"/>
    <w:rsid w:val="007106BB"/>
    <w:rsid w:val="007112F4"/>
    <w:rsid w:val="0071143F"/>
    <w:rsid w:val="00711B07"/>
    <w:rsid w:val="00711C34"/>
    <w:rsid w:val="0071219C"/>
    <w:rsid w:val="007123D1"/>
    <w:rsid w:val="007135D4"/>
    <w:rsid w:val="007145E9"/>
    <w:rsid w:val="00716028"/>
    <w:rsid w:val="00716539"/>
    <w:rsid w:val="007167A1"/>
    <w:rsid w:val="00716B05"/>
    <w:rsid w:val="00720C16"/>
    <w:rsid w:val="00721A0A"/>
    <w:rsid w:val="00721E94"/>
    <w:rsid w:val="007228B9"/>
    <w:rsid w:val="00722D5C"/>
    <w:rsid w:val="0072381F"/>
    <w:rsid w:val="00724088"/>
    <w:rsid w:val="00724641"/>
    <w:rsid w:val="00724A90"/>
    <w:rsid w:val="0072568F"/>
    <w:rsid w:val="00726322"/>
    <w:rsid w:val="00726C74"/>
    <w:rsid w:val="0072754B"/>
    <w:rsid w:val="007315ED"/>
    <w:rsid w:val="00731835"/>
    <w:rsid w:val="00731857"/>
    <w:rsid w:val="00731DBA"/>
    <w:rsid w:val="00733921"/>
    <w:rsid w:val="00733EC4"/>
    <w:rsid w:val="0073435A"/>
    <w:rsid w:val="0073503D"/>
    <w:rsid w:val="0073509B"/>
    <w:rsid w:val="0073546E"/>
    <w:rsid w:val="0073606B"/>
    <w:rsid w:val="00736753"/>
    <w:rsid w:val="007401F7"/>
    <w:rsid w:val="00740E57"/>
    <w:rsid w:val="0074114F"/>
    <w:rsid w:val="00741267"/>
    <w:rsid w:val="00741BEC"/>
    <w:rsid w:val="00743702"/>
    <w:rsid w:val="007437A4"/>
    <w:rsid w:val="00744783"/>
    <w:rsid w:val="007450F6"/>
    <w:rsid w:val="00745D5E"/>
    <w:rsid w:val="00746307"/>
    <w:rsid w:val="007477CD"/>
    <w:rsid w:val="0075053D"/>
    <w:rsid w:val="007510BD"/>
    <w:rsid w:val="00751130"/>
    <w:rsid w:val="007516D9"/>
    <w:rsid w:val="00751ABB"/>
    <w:rsid w:val="00751BA8"/>
    <w:rsid w:val="00751DAD"/>
    <w:rsid w:val="007520DE"/>
    <w:rsid w:val="007522B4"/>
    <w:rsid w:val="0075422A"/>
    <w:rsid w:val="0075490D"/>
    <w:rsid w:val="00754A29"/>
    <w:rsid w:val="00754CD4"/>
    <w:rsid w:val="007576FE"/>
    <w:rsid w:val="00760A92"/>
    <w:rsid w:val="00761CFE"/>
    <w:rsid w:val="00762AE4"/>
    <w:rsid w:val="00762B83"/>
    <w:rsid w:val="0076450D"/>
    <w:rsid w:val="00764986"/>
    <w:rsid w:val="00764E7D"/>
    <w:rsid w:val="00765C1A"/>
    <w:rsid w:val="00766524"/>
    <w:rsid w:val="00766E80"/>
    <w:rsid w:val="00770896"/>
    <w:rsid w:val="00770B10"/>
    <w:rsid w:val="00770FD9"/>
    <w:rsid w:val="0077121B"/>
    <w:rsid w:val="007715EF"/>
    <w:rsid w:val="00772B9C"/>
    <w:rsid w:val="00772FD1"/>
    <w:rsid w:val="0077300C"/>
    <w:rsid w:val="007735F6"/>
    <w:rsid w:val="007735F7"/>
    <w:rsid w:val="0077384D"/>
    <w:rsid w:val="00773E93"/>
    <w:rsid w:val="00773F63"/>
    <w:rsid w:val="007742C2"/>
    <w:rsid w:val="0077441F"/>
    <w:rsid w:val="007748A9"/>
    <w:rsid w:val="007757FA"/>
    <w:rsid w:val="00775C15"/>
    <w:rsid w:val="00775CC2"/>
    <w:rsid w:val="0077625B"/>
    <w:rsid w:val="0077644A"/>
    <w:rsid w:val="00777252"/>
    <w:rsid w:val="00777FD9"/>
    <w:rsid w:val="007825D3"/>
    <w:rsid w:val="0078334C"/>
    <w:rsid w:val="00783501"/>
    <w:rsid w:val="00783F42"/>
    <w:rsid w:val="00784624"/>
    <w:rsid w:val="00784A43"/>
    <w:rsid w:val="007850B7"/>
    <w:rsid w:val="0078562D"/>
    <w:rsid w:val="00785890"/>
    <w:rsid w:val="00786AE3"/>
    <w:rsid w:val="00787303"/>
    <w:rsid w:val="007879EB"/>
    <w:rsid w:val="00787DBD"/>
    <w:rsid w:val="00790CDB"/>
    <w:rsid w:val="00791014"/>
    <w:rsid w:val="00791408"/>
    <w:rsid w:val="00791519"/>
    <w:rsid w:val="007917B4"/>
    <w:rsid w:val="0079195A"/>
    <w:rsid w:val="00791C2A"/>
    <w:rsid w:val="007927B9"/>
    <w:rsid w:val="00792995"/>
    <w:rsid w:val="00792CD3"/>
    <w:rsid w:val="0079387F"/>
    <w:rsid w:val="00793AE6"/>
    <w:rsid w:val="00793B23"/>
    <w:rsid w:val="00794335"/>
    <w:rsid w:val="00795723"/>
    <w:rsid w:val="007968EF"/>
    <w:rsid w:val="00797216"/>
    <w:rsid w:val="0079736B"/>
    <w:rsid w:val="0079759C"/>
    <w:rsid w:val="007A1D51"/>
    <w:rsid w:val="007A281F"/>
    <w:rsid w:val="007A2878"/>
    <w:rsid w:val="007A2DAD"/>
    <w:rsid w:val="007A3892"/>
    <w:rsid w:val="007A41C5"/>
    <w:rsid w:val="007A47C2"/>
    <w:rsid w:val="007A5AD1"/>
    <w:rsid w:val="007A5D56"/>
    <w:rsid w:val="007A6190"/>
    <w:rsid w:val="007A621B"/>
    <w:rsid w:val="007A63C9"/>
    <w:rsid w:val="007A6C9D"/>
    <w:rsid w:val="007A745B"/>
    <w:rsid w:val="007A7823"/>
    <w:rsid w:val="007A79F2"/>
    <w:rsid w:val="007B0442"/>
    <w:rsid w:val="007B3580"/>
    <w:rsid w:val="007B4BDF"/>
    <w:rsid w:val="007B4F64"/>
    <w:rsid w:val="007B51C4"/>
    <w:rsid w:val="007B57B4"/>
    <w:rsid w:val="007B76B2"/>
    <w:rsid w:val="007C032C"/>
    <w:rsid w:val="007C078B"/>
    <w:rsid w:val="007C11BF"/>
    <w:rsid w:val="007C16F7"/>
    <w:rsid w:val="007C1C9A"/>
    <w:rsid w:val="007C1F62"/>
    <w:rsid w:val="007C4745"/>
    <w:rsid w:val="007C5547"/>
    <w:rsid w:val="007C55CB"/>
    <w:rsid w:val="007C59A3"/>
    <w:rsid w:val="007C7259"/>
    <w:rsid w:val="007D2BC9"/>
    <w:rsid w:val="007D31F7"/>
    <w:rsid w:val="007D3987"/>
    <w:rsid w:val="007D3C15"/>
    <w:rsid w:val="007D3E3F"/>
    <w:rsid w:val="007D4EEC"/>
    <w:rsid w:val="007D5C1B"/>
    <w:rsid w:val="007D6206"/>
    <w:rsid w:val="007D622D"/>
    <w:rsid w:val="007D62B2"/>
    <w:rsid w:val="007D630A"/>
    <w:rsid w:val="007D69C0"/>
    <w:rsid w:val="007D6A0C"/>
    <w:rsid w:val="007D6EDD"/>
    <w:rsid w:val="007D7ECE"/>
    <w:rsid w:val="007E03F7"/>
    <w:rsid w:val="007E08A2"/>
    <w:rsid w:val="007E0C92"/>
    <w:rsid w:val="007E120E"/>
    <w:rsid w:val="007E191E"/>
    <w:rsid w:val="007E1B49"/>
    <w:rsid w:val="007E1BC5"/>
    <w:rsid w:val="007E20A2"/>
    <w:rsid w:val="007E23B1"/>
    <w:rsid w:val="007E319A"/>
    <w:rsid w:val="007E3246"/>
    <w:rsid w:val="007E375B"/>
    <w:rsid w:val="007E5878"/>
    <w:rsid w:val="007E616A"/>
    <w:rsid w:val="007E6AD9"/>
    <w:rsid w:val="007E6FD8"/>
    <w:rsid w:val="007E7BFB"/>
    <w:rsid w:val="007F0090"/>
    <w:rsid w:val="007F0097"/>
    <w:rsid w:val="007F04FC"/>
    <w:rsid w:val="007F24D5"/>
    <w:rsid w:val="007F35D6"/>
    <w:rsid w:val="007F47F7"/>
    <w:rsid w:val="007F5D3A"/>
    <w:rsid w:val="007F77A1"/>
    <w:rsid w:val="0080082D"/>
    <w:rsid w:val="00801AA7"/>
    <w:rsid w:val="00802170"/>
    <w:rsid w:val="00802B84"/>
    <w:rsid w:val="0080369B"/>
    <w:rsid w:val="00804A89"/>
    <w:rsid w:val="00804DAC"/>
    <w:rsid w:val="00805D75"/>
    <w:rsid w:val="00806B11"/>
    <w:rsid w:val="00806DAF"/>
    <w:rsid w:val="008102E5"/>
    <w:rsid w:val="00810375"/>
    <w:rsid w:val="008103CB"/>
    <w:rsid w:val="008106DD"/>
    <w:rsid w:val="00811429"/>
    <w:rsid w:val="008118A2"/>
    <w:rsid w:val="00811952"/>
    <w:rsid w:val="00811E4A"/>
    <w:rsid w:val="0081219E"/>
    <w:rsid w:val="00812DA3"/>
    <w:rsid w:val="00813216"/>
    <w:rsid w:val="00814299"/>
    <w:rsid w:val="00814B77"/>
    <w:rsid w:val="008154FE"/>
    <w:rsid w:val="008161CB"/>
    <w:rsid w:val="00816274"/>
    <w:rsid w:val="008164F4"/>
    <w:rsid w:val="00817581"/>
    <w:rsid w:val="0081788E"/>
    <w:rsid w:val="00820021"/>
    <w:rsid w:val="00821E2D"/>
    <w:rsid w:val="0082223D"/>
    <w:rsid w:val="00823796"/>
    <w:rsid w:val="00823AC8"/>
    <w:rsid w:val="00823CE2"/>
    <w:rsid w:val="00823D3B"/>
    <w:rsid w:val="00824D45"/>
    <w:rsid w:val="00825113"/>
    <w:rsid w:val="00826655"/>
    <w:rsid w:val="008274C9"/>
    <w:rsid w:val="00827D82"/>
    <w:rsid w:val="00830311"/>
    <w:rsid w:val="0083034F"/>
    <w:rsid w:val="008304A9"/>
    <w:rsid w:val="008308FF"/>
    <w:rsid w:val="00830DC3"/>
    <w:rsid w:val="008318F6"/>
    <w:rsid w:val="00831C19"/>
    <w:rsid w:val="0083252B"/>
    <w:rsid w:val="00832783"/>
    <w:rsid w:val="0083334D"/>
    <w:rsid w:val="00833BD4"/>
    <w:rsid w:val="008340C5"/>
    <w:rsid w:val="008340EA"/>
    <w:rsid w:val="008351FF"/>
    <w:rsid w:val="008358AB"/>
    <w:rsid w:val="00835BDF"/>
    <w:rsid w:val="00836AFD"/>
    <w:rsid w:val="00837024"/>
    <w:rsid w:val="00837117"/>
    <w:rsid w:val="00840645"/>
    <w:rsid w:val="00840707"/>
    <w:rsid w:val="00840CB1"/>
    <w:rsid w:val="00841C14"/>
    <w:rsid w:val="00841C53"/>
    <w:rsid w:val="00841D2D"/>
    <w:rsid w:val="008423FA"/>
    <w:rsid w:val="008428F9"/>
    <w:rsid w:val="0084357A"/>
    <w:rsid w:val="008435A1"/>
    <w:rsid w:val="00843E5B"/>
    <w:rsid w:val="0084412A"/>
    <w:rsid w:val="008449DC"/>
    <w:rsid w:val="00844C3B"/>
    <w:rsid w:val="00844C78"/>
    <w:rsid w:val="008457A1"/>
    <w:rsid w:val="008469FB"/>
    <w:rsid w:val="0084764C"/>
    <w:rsid w:val="00847D7D"/>
    <w:rsid w:val="008505F5"/>
    <w:rsid w:val="00850A37"/>
    <w:rsid w:val="00850ADB"/>
    <w:rsid w:val="00850AFD"/>
    <w:rsid w:val="00850DEF"/>
    <w:rsid w:val="00850E81"/>
    <w:rsid w:val="00852412"/>
    <w:rsid w:val="0085357B"/>
    <w:rsid w:val="00854915"/>
    <w:rsid w:val="00855380"/>
    <w:rsid w:val="0085688D"/>
    <w:rsid w:val="00857288"/>
    <w:rsid w:val="0085759A"/>
    <w:rsid w:val="00857CAE"/>
    <w:rsid w:val="008639F8"/>
    <w:rsid w:val="00863F71"/>
    <w:rsid w:val="00865170"/>
    <w:rsid w:val="0086567B"/>
    <w:rsid w:val="00865F93"/>
    <w:rsid w:val="00867BC2"/>
    <w:rsid w:val="0087066F"/>
    <w:rsid w:val="00871796"/>
    <w:rsid w:val="00871B1F"/>
    <w:rsid w:val="00871EE0"/>
    <w:rsid w:val="00872D52"/>
    <w:rsid w:val="00873406"/>
    <w:rsid w:val="00874729"/>
    <w:rsid w:val="00875860"/>
    <w:rsid w:val="00877476"/>
    <w:rsid w:val="008778C4"/>
    <w:rsid w:val="00877B71"/>
    <w:rsid w:val="00877FDE"/>
    <w:rsid w:val="008801D3"/>
    <w:rsid w:val="008805C3"/>
    <w:rsid w:val="00880C56"/>
    <w:rsid w:val="008813B5"/>
    <w:rsid w:val="00881B14"/>
    <w:rsid w:val="00881F3F"/>
    <w:rsid w:val="00882A8F"/>
    <w:rsid w:val="00883554"/>
    <w:rsid w:val="0088389B"/>
    <w:rsid w:val="00883B8D"/>
    <w:rsid w:val="00883C96"/>
    <w:rsid w:val="00883CCA"/>
    <w:rsid w:val="008858D9"/>
    <w:rsid w:val="00886E59"/>
    <w:rsid w:val="00886F5D"/>
    <w:rsid w:val="00886F9B"/>
    <w:rsid w:val="00887954"/>
    <w:rsid w:val="00887DAD"/>
    <w:rsid w:val="00890786"/>
    <w:rsid w:val="00890AEC"/>
    <w:rsid w:val="00890CDD"/>
    <w:rsid w:val="008917EB"/>
    <w:rsid w:val="00892577"/>
    <w:rsid w:val="0089258A"/>
    <w:rsid w:val="008928B9"/>
    <w:rsid w:val="00893442"/>
    <w:rsid w:val="0089389F"/>
    <w:rsid w:val="008939DA"/>
    <w:rsid w:val="00893C60"/>
    <w:rsid w:val="008941C7"/>
    <w:rsid w:val="0089434D"/>
    <w:rsid w:val="00894DED"/>
    <w:rsid w:val="00895E99"/>
    <w:rsid w:val="0089618B"/>
    <w:rsid w:val="008967FC"/>
    <w:rsid w:val="00896FAC"/>
    <w:rsid w:val="00897680"/>
    <w:rsid w:val="008A0D04"/>
    <w:rsid w:val="008A0E5F"/>
    <w:rsid w:val="008A11FF"/>
    <w:rsid w:val="008A1418"/>
    <w:rsid w:val="008A14A0"/>
    <w:rsid w:val="008A18A5"/>
    <w:rsid w:val="008A1F91"/>
    <w:rsid w:val="008A23FA"/>
    <w:rsid w:val="008A3F0C"/>
    <w:rsid w:val="008A459D"/>
    <w:rsid w:val="008A45D1"/>
    <w:rsid w:val="008A55BE"/>
    <w:rsid w:val="008A586B"/>
    <w:rsid w:val="008A5B4C"/>
    <w:rsid w:val="008A6F0F"/>
    <w:rsid w:val="008A75B5"/>
    <w:rsid w:val="008A79DD"/>
    <w:rsid w:val="008B0805"/>
    <w:rsid w:val="008B10E6"/>
    <w:rsid w:val="008B1D6A"/>
    <w:rsid w:val="008B232F"/>
    <w:rsid w:val="008B2E1D"/>
    <w:rsid w:val="008B33A9"/>
    <w:rsid w:val="008B4159"/>
    <w:rsid w:val="008B510D"/>
    <w:rsid w:val="008B543C"/>
    <w:rsid w:val="008B55B6"/>
    <w:rsid w:val="008B5B4C"/>
    <w:rsid w:val="008B6342"/>
    <w:rsid w:val="008B73D4"/>
    <w:rsid w:val="008C021D"/>
    <w:rsid w:val="008C02EA"/>
    <w:rsid w:val="008C0450"/>
    <w:rsid w:val="008C2516"/>
    <w:rsid w:val="008C2A9C"/>
    <w:rsid w:val="008C31AE"/>
    <w:rsid w:val="008C35EC"/>
    <w:rsid w:val="008C36EB"/>
    <w:rsid w:val="008C4153"/>
    <w:rsid w:val="008C4AE3"/>
    <w:rsid w:val="008C51F7"/>
    <w:rsid w:val="008C639D"/>
    <w:rsid w:val="008C6BD0"/>
    <w:rsid w:val="008C6DF3"/>
    <w:rsid w:val="008C74D3"/>
    <w:rsid w:val="008C7BE4"/>
    <w:rsid w:val="008D08AD"/>
    <w:rsid w:val="008D1E89"/>
    <w:rsid w:val="008D2326"/>
    <w:rsid w:val="008D3120"/>
    <w:rsid w:val="008D35C1"/>
    <w:rsid w:val="008D3AFA"/>
    <w:rsid w:val="008D564C"/>
    <w:rsid w:val="008D6660"/>
    <w:rsid w:val="008D6FCF"/>
    <w:rsid w:val="008D72D5"/>
    <w:rsid w:val="008D7326"/>
    <w:rsid w:val="008D75F9"/>
    <w:rsid w:val="008D7B4D"/>
    <w:rsid w:val="008D7EDD"/>
    <w:rsid w:val="008E063E"/>
    <w:rsid w:val="008E21E6"/>
    <w:rsid w:val="008E2D78"/>
    <w:rsid w:val="008E33E1"/>
    <w:rsid w:val="008E3BF7"/>
    <w:rsid w:val="008E4051"/>
    <w:rsid w:val="008E4547"/>
    <w:rsid w:val="008E4C39"/>
    <w:rsid w:val="008E5B4A"/>
    <w:rsid w:val="008E5DB1"/>
    <w:rsid w:val="008E6033"/>
    <w:rsid w:val="008E691A"/>
    <w:rsid w:val="008E727D"/>
    <w:rsid w:val="008E73E8"/>
    <w:rsid w:val="008E76FE"/>
    <w:rsid w:val="008F00F4"/>
    <w:rsid w:val="008F0886"/>
    <w:rsid w:val="008F129F"/>
    <w:rsid w:val="008F1545"/>
    <w:rsid w:val="008F1A31"/>
    <w:rsid w:val="008F2ED0"/>
    <w:rsid w:val="008F5867"/>
    <w:rsid w:val="008F6018"/>
    <w:rsid w:val="008F6055"/>
    <w:rsid w:val="008F620B"/>
    <w:rsid w:val="008F6E80"/>
    <w:rsid w:val="00900705"/>
    <w:rsid w:val="00900C83"/>
    <w:rsid w:val="00901108"/>
    <w:rsid w:val="00901F45"/>
    <w:rsid w:val="00902567"/>
    <w:rsid w:val="00903016"/>
    <w:rsid w:val="00903172"/>
    <w:rsid w:val="00903DD3"/>
    <w:rsid w:val="0090427A"/>
    <w:rsid w:val="00905267"/>
    <w:rsid w:val="009055A5"/>
    <w:rsid w:val="00905C29"/>
    <w:rsid w:val="00906BAB"/>
    <w:rsid w:val="00907117"/>
    <w:rsid w:val="0091023C"/>
    <w:rsid w:val="009102AA"/>
    <w:rsid w:val="009108DC"/>
    <w:rsid w:val="00910D78"/>
    <w:rsid w:val="00912DC9"/>
    <w:rsid w:val="00913473"/>
    <w:rsid w:val="00913816"/>
    <w:rsid w:val="00913A72"/>
    <w:rsid w:val="009144EA"/>
    <w:rsid w:val="0091502F"/>
    <w:rsid w:val="009151A1"/>
    <w:rsid w:val="00915849"/>
    <w:rsid w:val="009160A1"/>
    <w:rsid w:val="009162FF"/>
    <w:rsid w:val="00920969"/>
    <w:rsid w:val="00921085"/>
    <w:rsid w:val="0092325E"/>
    <w:rsid w:val="009240F4"/>
    <w:rsid w:val="00924CDE"/>
    <w:rsid w:val="00925687"/>
    <w:rsid w:val="00926579"/>
    <w:rsid w:val="009265E0"/>
    <w:rsid w:val="009274ED"/>
    <w:rsid w:val="00927673"/>
    <w:rsid w:val="009278F7"/>
    <w:rsid w:val="00927EDF"/>
    <w:rsid w:val="00930491"/>
    <w:rsid w:val="00930F1F"/>
    <w:rsid w:val="00930FB6"/>
    <w:rsid w:val="0093154E"/>
    <w:rsid w:val="00931A01"/>
    <w:rsid w:val="00932469"/>
    <w:rsid w:val="009326E7"/>
    <w:rsid w:val="009327B9"/>
    <w:rsid w:val="009335C2"/>
    <w:rsid w:val="009338F3"/>
    <w:rsid w:val="00933C05"/>
    <w:rsid w:val="00933F71"/>
    <w:rsid w:val="009349BF"/>
    <w:rsid w:val="00934AAA"/>
    <w:rsid w:val="00934D2C"/>
    <w:rsid w:val="009364DE"/>
    <w:rsid w:val="0093653F"/>
    <w:rsid w:val="009371B2"/>
    <w:rsid w:val="009374EE"/>
    <w:rsid w:val="00937B48"/>
    <w:rsid w:val="009402BD"/>
    <w:rsid w:val="00940551"/>
    <w:rsid w:val="009417DD"/>
    <w:rsid w:val="0094194A"/>
    <w:rsid w:val="00941A3A"/>
    <w:rsid w:val="00942AEC"/>
    <w:rsid w:val="009441A4"/>
    <w:rsid w:val="00944371"/>
    <w:rsid w:val="0094438F"/>
    <w:rsid w:val="00944453"/>
    <w:rsid w:val="0094542B"/>
    <w:rsid w:val="00945AB3"/>
    <w:rsid w:val="00945E6A"/>
    <w:rsid w:val="00947BCF"/>
    <w:rsid w:val="00947CA8"/>
    <w:rsid w:val="00947E1B"/>
    <w:rsid w:val="0095055B"/>
    <w:rsid w:val="00950566"/>
    <w:rsid w:val="009505B1"/>
    <w:rsid w:val="00950BD2"/>
    <w:rsid w:val="00950D40"/>
    <w:rsid w:val="009516EE"/>
    <w:rsid w:val="00951BF8"/>
    <w:rsid w:val="00953906"/>
    <w:rsid w:val="00953CDE"/>
    <w:rsid w:val="009554E2"/>
    <w:rsid w:val="00955EAB"/>
    <w:rsid w:val="00955EE5"/>
    <w:rsid w:val="009563CB"/>
    <w:rsid w:val="00956D12"/>
    <w:rsid w:val="00956DEE"/>
    <w:rsid w:val="00957A39"/>
    <w:rsid w:val="0096091B"/>
    <w:rsid w:val="00960ADE"/>
    <w:rsid w:val="009614FA"/>
    <w:rsid w:val="00962A71"/>
    <w:rsid w:val="00962C5D"/>
    <w:rsid w:val="00962FA5"/>
    <w:rsid w:val="009642C2"/>
    <w:rsid w:val="0096609D"/>
    <w:rsid w:val="00966463"/>
    <w:rsid w:val="0096692A"/>
    <w:rsid w:val="00967993"/>
    <w:rsid w:val="009720C6"/>
    <w:rsid w:val="009723DF"/>
    <w:rsid w:val="009726EE"/>
    <w:rsid w:val="00972BC8"/>
    <w:rsid w:val="00973405"/>
    <w:rsid w:val="0097380E"/>
    <w:rsid w:val="00973D2E"/>
    <w:rsid w:val="009744A5"/>
    <w:rsid w:val="00974D73"/>
    <w:rsid w:val="00975163"/>
    <w:rsid w:val="00975E8C"/>
    <w:rsid w:val="0097655D"/>
    <w:rsid w:val="00977357"/>
    <w:rsid w:val="0097748B"/>
    <w:rsid w:val="0097784E"/>
    <w:rsid w:val="009778E3"/>
    <w:rsid w:val="00977DD8"/>
    <w:rsid w:val="00980CE4"/>
    <w:rsid w:val="00980EA3"/>
    <w:rsid w:val="00980FF5"/>
    <w:rsid w:val="00982182"/>
    <w:rsid w:val="009822C6"/>
    <w:rsid w:val="00983A0E"/>
    <w:rsid w:val="009846FB"/>
    <w:rsid w:val="009849FF"/>
    <w:rsid w:val="0098515D"/>
    <w:rsid w:val="009856A2"/>
    <w:rsid w:val="00985953"/>
    <w:rsid w:val="00985E47"/>
    <w:rsid w:val="00986356"/>
    <w:rsid w:val="00986455"/>
    <w:rsid w:val="0098694A"/>
    <w:rsid w:val="0098714E"/>
    <w:rsid w:val="0099056A"/>
    <w:rsid w:val="009906C8"/>
    <w:rsid w:val="009917BE"/>
    <w:rsid w:val="00991D86"/>
    <w:rsid w:val="00991F8F"/>
    <w:rsid w:val="00992412"/>
    <w:rsid w:val="00992B41"/>
    <w:rsid w:val="009939B8"/>
    <w:rsid w:val="00993F86"/>
    <w:rsid w:val="00995541"/>
    <w:rsid w:val="009968DA"/>
    <w:rsid w:val="00997458"/>
    <w:rsid w:val="009A1155"/>
    <w:rsid w:val="009A18EF"/>
    <w:rsid w:val="009A1FB7"/>
    <w:rsid w:val="009A22F8"/>
    <w:rsid w:val="009A23F6"/>
    <w:rsid w:val="009A2A79"/>
    <w:rsid w:val="009A2EA7"/>
    <w:rsid w:val="009A3620"/>
    <w:rsid w:val="009A41F4"/>
    <w:rsid w:val="009A590B"/>
    <w:rsid w:val="009A66D9"/>
    <w:rsid w:val="009A6897"/>
    <w:rsid w:val="009A6D7A"/>
    <w:rsid w:val="009B025C"/>
    <w:rsid w:val="009B1589"/>
    <w:rsid w:val="009B1BF4"/>
    <w:rsid w:val="009B1FB5"/>
    <w:rsid w:val="009B2463"/>
    <w:rsid w:val="009B29B1"/>
    <w:rsid w:val="009B2AB8"/>
    <w:rsid w:val="009B38C6"/>
    <w:rsid w:val="009B60F3"/>
    <w:rsid w:val="009B6910"/>
    <w:rsid w:val="009B692C"/>
    <w:rsid w:val="009B6E1C"/>
    <w:rsid w:val="009B71AC"/>
    <w:rsid w:val="009B7DE6"/>
    <w:rsid w:val="009C0105"/>
    <w:rsid w:val="009C03BA"/>
    <w:rsid w:val="009C173E"/>
    <w:rsid w:val="009C2055"/>
    <w:rsid w:val="009C2186"/>
    <w:rsid w:val="009C2418"/>
    <w:rsid w:val="009C2456"/>
    <w:rsid w:val="009C39FC"/>
    <w:rsid w:val="009C3E87"/>
    <w:rsid w:val="009C409D"/>
    <w:rsid w:val="009C4B40"/>
    <w:rsid w:val="009C4F7D"/>
    <w:rsid w:val="009C68F6"/>
    <w:rsid w:val="009C69FF"/>
    <w:rsid w:val="009C6C44"/>
    <w:rsid w:val="009C6C9D"/>
    <w:rsid w:val="009C7BB3"/>
    <w:rsid w:val="009D015C"/>
    <w:rsid w:val="009D0536"/>
    <w:rsid w:val="009D12C5"/>
    <w:rsid w:val="009D1657"/>
    <w:rsid w:val="009D30C7"/>
    <w:rsid w:val="009D38F9"/>
    <w:rsid w:val="009D473D"/>
    <w:rsid w:val="009D52D5"/>
    <w:rsid w:val="009D6D86"/>
    <w:rsid w:val="009D707A"/>
    <w:rsid w:val="009D71EF"/>
    <w:rsid w:val="009D7319"/>
    <w:rsid w:val="009D744D"/>
    <w:rsid w:val="009D759A"/>
    <w:rsid w:val="009D7A87"/>
    <w:rsid w:val="009D7CB4"/>
    <w:rsid w:val="009E065B"/>
    <w:rsid w:val="009E1906"/>
    <w:rsid w:val="009E1C9F"/>
    <w:rsid w:val="009E2264"/>
    <w:rsid w:val="009E321C"/>
    <w:rsid w:val="009E43DD"/>
    <w:rsid w:val="009E4747"/>
    <w:rsid w:val="009E4E0D"/>
    <w:rsid w:val="009E50F7"/>
    <w:rsid w:val="009E61F5"/>
    <w:rsid w:val="009E64CE"/>
    <w:rsid w:val="009E72C9"/>
    <w:rsid w:val="009E77E3"/>
    <w:rsid w:val="009F0889"/>
    <w:rsid w:val="009F10C8"/>
    <w:rsid w:val="009F10DB"/>
    <w:rsid w:val="009F1B0C"/>
    <w:rsid w:val="009F3611"/>
    <w:rsid w:val="009F3909"/>
    <w:rsid w:val="009F3DD5"/>
    <w:rsid w:val="009F4A8D"/>
    <w:rsid w:val="009F4C50"/>
    <w:rsid w:val="009F6BDC"/>
    <w:rsid w:val="009F6BFE"/>
    <w:rsid w:val="009F70DE"/>
    <w:rsid w:val="009F7551"/>
    <w:rsid w:val="00A007E7"/>
    <w:rsid w:val="00A01E02"/>
    <w:rsid w:val="00A0209B"/>
    <w:rsid w:val="00A0287E"/>
    <w:rsid w:val="00A03BD3"/>
    <w:rsid w:val="00A03F5E"/>
    <w:rsid w:val="00A042A5"/>
    <w:rsid w:val="00A0446C"/>
    <w:rsid w:val="00A044E3"/>
    <w:rsid w:val="00A049AB"/>
    <w:rsid w:val="00A052B3"/>
    <w:rsid w:val="00A05570"/>
    <w:rsid w:val="00A06B79"/>
    <w:rsid w:val="00A10F7B"/>
    <w:rsid w:val="00A1126A"/>
    <w:rsid w:val="00A119E0"/>
    <w:rsid w:val="00A11E71"/>
    <w:rsid w:val="00A12A0B"/>
    <w:rsid w:val="00A12CCF"/>
    <w:rsid w:val="00A1329F"/>
    <w:rsid w:val="00A13AED"/>
    <w:rsid w:val="00A13E69"/>
    <w:rsid w:val="00A14696"/>
    <w:rsid w:val="00A14DB1"/>
    <w:rsid w:val="00A156F6"/>
    <w:rsid w:val="00A15AC1"/>
    <w:rsid w:val="00A16B35"/>
    <w:rsid w:val="00A1749F"/>
    <w:rsid w:val="00A17E5A"/>
    <w:rsid w:val="00A2035C"/>
    <w:rsid w:val="00A20E12"/>
    <w:rsid w:val="00A216CE"/>
    <w:rsid w:val="00A2266C"/>
    <w:rsid w:val="00A226E8"/>
    <w:rsid w:val="00A23A23"/>
    <w:rsid w:val="00A24BF2"/>
    <w:rsid w:val="00A250D0"/>
    <w:rsid w:val="00A2528D"/>
    <w:rsid w:val="00A25855"/>
    <w:rsid w:val="00A26A59"/>
    <w:rsid w:val="00A26AB2"/>
    <w:rsid w:val="00A26B6E"/>
    <w:rsid w:val="00A3106B"/>
    <w:rsid w:val="00A3136C"/>
    <w:rsid w:val="00A3274B"/>
    <w:rsid w:val="00A335B5"/>
    <w:rsid w:val="00A336B7"/>
    <w:rsid w:val="00A3472F"/>
    <w:rsid w:val="00A3523A"/>
    <w:rsid w:val="00A352C4"/>
    <w:rsid w:val="00A35655"/>
    <w:rsid w:val="00A35D30"/>
    <w:rsid w:val="00A363C8"/>
    <w:rsid w:val="00A37C17"/>
    <w:rsid w:val="00A37DAC"/>
    <w:rsid w:val="00A41E8B"/>
    <w:rsid w:val="00A4203D"/>
    <w:rsid w:val="00A42566"/>
    <w:rsid w:val="00A42899"/>
    <w:rsid w:val="00A432EC"/>
    <w:rsid w:val="00A43870"/>
    <w:rsid w:val="00A43DC2"/>
    <w:rsid w:val="00A4425B"/>
    <w:rsid w:val="00A4457A"/>
    <w:rsid w:val="00A447A3"/>
    <w:rsid w:val="00A4481E"/>
    <w:rsid w:val="00A449EB"/>
    <w:rsid w:val="00A45FE6"/>
    <w:rsid w:val="00A46D5F"/>
    <w:rsid w:val="00A47609"/>
    <w:rsid w:val="00A502B5"/>
    <w:rsid w:val="00A51397"/>
    <w:rsid w:val="00A51D62"/>
    <w:rsid w:val="00A51E65"/>
    <w:rsid w:val="00A523EB"/>
    <w:rsid w:val="00A52A20"/>
    <w:rsid w:val="00A53652"/>
    <w:rsid w:val="00A53657"/>
    <w:rsid w:val="00A5365D"/>
    <w:rsid w:val="00A53FDB"/>
    <w:rsid w:val="00A54B77"/>
    <w:rsid w:val="00A54C1B"/>
    <w:rsid w:val="00A54C33"/>
    <w:rsid w:val="00A561E9"/>
    <w:rsid w:val="00A57019"/>
    <w:rsid w:val="00A60548"/>
    <w:rsid w:val="00A605EB"/>
    <w:rsid w:val="00A61CA0"/>
    <w:rsid w:val="00A61CAF"/>
    <w:rsid w:val="00A62633"/>
    <w:rsid w:val="00A6293D"/>
    <w:rsid w:val="00A62961"/>
    <w:rsid w:val="00A639C9"/>
    <w:rsid w:val="00A63FE6"/>
    <w:rsid w:val="00A64668"/>
    <w:rsid w:val="00A64CD1"/>
    <w:rsid w:val="00A65E6E"/>
    <w:rsid w:val="00A667A6"/>
    <w:rsid w:val="00A70144"/>
    <w:rsid w:val="00A70800"/>
    <w:rsid w:val="00A70A56"/>
    <w:rsid w:val="00A70CDB"/>
    <w:rsid w:val="00A70FC1"/>
    <w:rsid w:val="00A72B26"/>
    <w:rsid w:val="00A72F7D"/>
    <w:rsid w:val="00A734BC"/>
    <w:rsid w:val="00A74F11"/>
    <w:rsid w:val="00A75530"/>
    <w:rsid w:val="00A75542"/>
    <w:rsid w:val="00A7602B"/>
    <w:rsid w:val="00A76835"/>
    <w:rsid w:val="00A77500"/>
    <w:rsid w:val="00A775D6"/>
    <w:rsid w:val="00A77F4A"/>
    <w:rsid w:val="00A8003F"/>
    <w:rsid w:val="00A80C72"/>
    <w:rsid w:val="00A818B2"/>
    <w:rsid w:val="00A81F10"/>
    <w:rsid w:val="00A820A6"/>
    <w:rsid w:val="00A8287B"/>
    <w:rsid w:val="00A831E8"/>
    <w:rsid w:val="00A83ACB"/>
    <w:rsid w:val="00A83D86"/>
    <w:rsid w:val="00A83E0B"/>
    <w:rsid w:val="00A84451"/>
    <w:rsid w:val="00A8516F"/>
    <w:rsid w:val="00A85197"/>
    <w:rsid w:val="00A859E6"/>
    <w:rsid w:val="00A86412"/>
    <w:rsid w:val="00A86CF4"/>
    <w:rsid w:val="00A87B21"/>
    <w:rsid w:val="00A90EB3"/>
    <w:rsid w:val="00A9216F"/>
    <w:rsid w:val="00A92CE5"/>
    <w:rsid w:val="00A931D2"/>
    <w:rsid w:val="00A951BE"/>
    <w:rsid w:val="00A95572"/>
    <w:rsid w:val="00A956CB"/>
    <w:rsid w:val="00A95863"/>
    <w:rsid w:val="00A958FA"/>
    <w:rsid w:val="00A95B93"/>
    <w:rsid w:val="00A95C85"/>
    <w:rsid w:val="00A96507"/>
    <w:rsid w:val="00A96AE1"/>
    <w:rsid w:val="00A97403"/>
    <w:rsid w:val="00A97B6D"/>
    <w:rsid w:val="00AA01B9"/>
    <w:rsid w:val="00AA210F"/>
    <w:rsid w:val="00AA2162"/>
    <w:rsid w:val="00AA2F0C"/>
    <w:rsid w:val="00AA3D34"/>
    <w:rsid w:val="00AA3E6A"/>
    <w:rsid w:val="00AA3F16"/>
    <w:rsid w:val="00AA7260"/>
    <w:rsid w:val="00AB3761"/>
    <w:rsid w:val="00AB387E"/>
    <w:rsid w:val="00AB459E"/>
    <w:rsid w:val="00AB4AC3"/>
    <w:rsid w:val="00AB4E71"/>
    <w:rsid w:val="00AB5E7A"/>
    <w:rsid w:val="00AB5F7C"/>
    <w:rsid w:val="00AB6385"/>
    <w:rsid w:val="00AB63AE"/>
    <w:rsid w:val="00AB6F88"/>
    <w:rsid w:val="00AB76BD"/>
    <w:rsid w:val="00AC0582"/>
    <w:rsid w:val="00AC07C5"/>
    <w:rsid w:val="00AC0D8D"/>
    <w:rsid w:val="00AC10F1"/>
    <w:rsid w:val="00AC136A"/>
    <w:rsid w:val="00AC1731"/>
    <w:rsid w:val="00AC1F71"/>
    <w:rsid w:val="00AC23DF"/>
    <w:rsid w:val="00AC264F"/>
    <w:rsid w:val="00AC3836"/>
    <w:rsid w:val="00AC530D"/>
    <w:rsid w:val="00AC64F2"/>
    <w:rsid w:val="00AC7812"/>
    <w:rsid w:val="00AC7C4A"/>
    <w:rsid w:val="00AC7DF2"/>
    <w:rsid w:val="00AD0160"/>
    <w:rsid w:val="00AD05A1"/>
    <w:rsid w:val="00AD14FD"/>
    <w:rsid w:val="00AD1C49"/>
    <w:rsid w:val="00AD3071"/>
    <w:rsid w:val="00AD3564"/>
    <w:rsid w:val="00AD412D"/>
    <w:rsid w:val="00AD46F8"/>
    <w:rsid w:val="00AD6652"/>
    <w:rsid w:val="00AD6785"/>
    <w:rsid w:val="00AD733D"/>
    <w:rsid w:val="00AD76DC"/>
    <w:rsid w:val="00AD7812"/>
    <w:rsid w:val="00AE04B0"/>
    <w:rsid w:val="00AE0B83"/>
    <w:rsid w:val="00AE14AA"/>
    <w:rsid w:val="00AE195A"/>
    <w:rsid w:val="00AE20F2"/>
    <w:rsid w:val="00AE25CE"/>
    <w:rsid w:val="00AE333E"/>
    <w:rsid w:val="00AE3799"/>
    <w:rsid w:val="00AE3C5D"/>
    <w:rsid w:val="00AE3E92"/>
    <w:rsid w:val="00AE3ED1"/>
    <w:rsid w:val="00AE3F17"/>
    <w:rsid w:val="00AE44D4"/>
    <w:rsid w:val="00AE4896"/>
    <w:rsid w:val="00AE4FFF"/>
    <w:rsid w:val="00AE5953"/>
    <w:rsid w:val="00AE5F16"/>
    <w:rsid w:val="00AE672C"/>
    <w:rsid w:val="00AE723A"/>
    <w:rsid w:val="00AE7542"/>
    <w:rsid w:val="00AE7AE4"/>
    <w:rsid w:val="00AF056C"/>
    <w:rsid w:val="00AF0576"/>
    <w:rsid w:val="00AF1284"/>
    <w:rsid w:val="00AF1C27"/>
    <w:rsid w:val="00AF224A"/>
    <w:rsid w:val="00AF22EB"/>
    <w:rsid w:val="00AF243A"/>
    <w:rsid w:val="00AF2E1C"/>
    <w:rsid w:val="00AF3281"/>
    <w:rsid w:val="00AF3A2D"/>
    <w:rsid w:val="00AF402B"/>
    <w:rsid w:val="00AF40A3"/>
    <w:rsid w:val="00AF44A4"/>
    <w:rsid w:val="00AF46A7"/>
    <w:rsid w:val="00AF5B08"/>
    <w:rsid w:val="00AF5F9F"/>
    <w:rsid w:val="00AF6422"/>
    <w:rsid w:val="00AF6A83"/>
    <w:rsid w:val="00AF7548"/>
    <w:rsid w:val="00AF7805"/>
    <w:rsid w:val="00B00AED"/>
    <w:rsid w:val="00B00D1C"/>
    <w:rsid w:val="00B00E7D"/>
    <w:rsid w:val="00B025D0"/>
    <w:rsid w:val="00B034C8"/>
    <w:rsid w:val="00B03B2B"/>
    <w:rsid w:val="00B04429"/>
    <w:rsid w:val="00B049A2"/>
    <w:rsid w:val="00B04E98"/>
    <w:rsid w:val="00B06EC9"/>
    <w:rsid w:val="00B10D58"/>
    <w:rsid w:val="00B11138"/>
    <w:rsid w:val="00B11493"/>
    <w:rsid w:val="00B119C0"/>
    <w:rsid w:val="00B11B66"/>
    <w:rsid w:val="00B121E7"/>
    <w:rsid w:val="00B12674"/>
    <w:rsid w:val="00B146FD"/>
    <w:rsid w:val="00B1490A"/>
    <w:rsid w:val="00B15239"/>
    <w:rsid w:val="00B15ACA"/>
    <w:rsid w:val="00B15ECF"/>
    <w:rsid w:val="00B16068"/>
    <w:rsid w:val="00B1672E"/>
    <w:rsid w:val="00B171D6"/>
    <w:rsid w:val="00B17DEC"/>
    <w:rsid w:val="00B204EB"/>
    <w:rsid w:val="00B20EB1"/>
    <w:rsid w:val="00B21478"/>
    <w:rsid w:val="00B21540"/>
    <w:rsid w:val="00B21749"/>
    <w:rsid w:val="00B21B0E"/>
    <w:rsid w:val="00B21B29"/>
    <w:rsid w:val="00B24621"/>
    <w:rsid w:val="00B256A9"/>
    <w:rsid w:val="00B25AC1"/>
    <w:rsid w:val="00B25DB2"/>
    <w:rsid w:val="00B262D6"/>
    <w:rsid w:val="00B2661B"/>
    <w:rsid w:val="00B26A80"/>
    <w:rsid w:val="00B2756B"/>
    <w:rsid w:val="00B311DB"/>
    <w:rsid w:val="00B3193C"/>
    <w:rsid w:val="00B31B6D"/>
    <w:rsid w:val="00B323C4"/>
    <w:rsid w:val="00B34604"/>
    <w:rsid w:val="00B34B7A"/>
    <w:rsid w:val="00B34CC5"/>
    <w:rsid w:val="00B34EAC"/>
    <w:rsid w:val="00B3527B"/>
    <w:rsid w:val="00B35DF9"/>
    <w:rsid w:val="00B36BC7"/>
    <w:rsid w:val="00B36C83"/>
    <w:rsid w:val="00B37096"/>
    <w:rsid w:val="00B3763A"/>
    <w:rsid w:val="00B37716"/>
    <w:rsid w:val="00B3787B"/>
    <w:rsid w:val="00B37CEC"/>
    <w:rsid w:val="00B40018"/>
    <w:rsid w:val="00B416FB"/>
    <w:rsid w:val="00B4179C"/>
    <w:rsid w:val="00B4292F"/>
    <w:rsid w:val="00B43821"/>
    <w:rsid w:val="00B43B09"/>
    <w:rsid w:val="00B4413D"/>
    <w:rsid w:val="00B44916"/>
    <w:rsid w:val="00B44F78"/>
    <w:rsid w:val="00B451D0"/>
    <w:rsid w:val="00B45721"/>
    <w:rsid w:val="00B45903"/>
    <w:rsid w:val="00B45B3F"/>
    <w:rsid w:val="00B46897"/>
    <w:rsid w:val="00B4718B"/>
    <w:rsid w:val="00B47469"/>
    <w:rsid w:val="00B477B4"/>
    <w:rsid w:val="00B504A5"/>
    <w:rsid w:val="00B50640"/>
    <w:rsid w:val="00B50EA6"/>
    <w:rsid w:val="00B51547"/>
    <w:rsid w:val="00B51E62"/>
    <w:rsid w:val="00B51F49"/>
    <w:rsid w:val="00B52C87"/>
    <w:rsid w:val="00B53AFF"/>
    <w:rsid w:val="00B53EFC"/>
    <w:rsid w:val="00B5489A"/>
    <w:rsid w:val="00B54D79"/>
    <w:rsid w:val="00B5501B"/>
    <w:rsid w:val="00B5678D"/>
    <w:rsid w:val="00B56A27"/>
    <w:rsid w:val="00B56A8F"/>
    <w:rsid w:val="00B56EDF"/>
    <w:rsid w:val="00B57506"/>
    <w:rsid w:val="00B60863"/>
    <w:rsid w:val="00B60D35"/>
    <w:rsid w:val="00B60DE3"/>
    <w:rsid w:val="00B618BF"/>
    <w:rsid w:val="00B634FD"/>
    <w:rsid w:val="00B637F1"/>
    <w:rsid w:val="00B64EA3"/>
    <w:rsid w:val="00B6574E"/>
    <w:rsid w:val="00B65995"/>
    <w:rsid w:val="00B6680B"/>
    <w:rsid w:val="00B701CD"/>
    <w:rsid w:val="00B707EC"/>
    <w:rsid w:val="00B71657"/>
    <w:rsid w:val="00B7277D"/>
    <w:rsid w:val="00B72F85"/>
    <w:rsid w:val="00B73F24"/>
    <w:rsid w:val="00B74022"/>
    <w:rsid w:val="00B748B7"/>
    <w:rsid w:val="00B77F5B"/>
    <w:rsid w:val="00B8058A"/>
    <w:rsid w:val="00B81335"/>
    <w:rsid w:val="00B813AC"/>
    <w:rsid w:val="00B81411"/>
    <w:rsid w:val="00B82071"/>
    <w:rsid w:val="00B82614"/>
    <w:rsid w:val="00B839CB"/>
    <w:rsid w:val="00B83E26"/>
    <w:rsid w:val="00B84E98"/>
    <w:rsid w:val="00B84E9C"/>
    <w:rsid w:val="00B84FCE"/>
    <w:rsid w:val="00B852BB"/>
    <w:rsid w:val="00B8598A"/>
    <w:rsid w:val="00B85A2F"/>
    <w:rsid w:val="00B86914"/>
    <w:rsid w:val="00B8696F"/>
    <w:rsid w:val="00B86A06"/>
    <w:rsid w:val="00B87523"/>
    <w:rsid w:val="00B878EC"/>
    <w:rsid w:val="00B9008D"/>
    <w:rsid w:val="00B9067D"/>
    <w:rsid w:val="00B915F4"/>
    <w:rsid w:val="00B919BF"/>
    <w:rsid w:val="00B91EDC"/>
    <w:rsid w:val="00B9286B"/>
    <w:rsid w:val="00B92FC4"/>
    <w:rsid w:val="00B93709"/>
    <w:rsid w:val="00B93D67"/>
    <w:rsid w:val="00B94668"/>
    <w:rsid w:val="00B94C29"/>
    <w:rsid w:val="00B94CCF"/>
    <w:rsid w:val="00B95630"/>
    <w:rsid w:val="00B95C04"/>
    <w:rsid w:val="00B96835"/>
    <w:rsid w:val="00B9689A"/>
    <w:rsid w:val="00B9689F"/>
    <w:rsid w:val="00B96979"/>
    <w:rsid w:val="00B97EA8"/>
    <w:rsid w:val="00BA0A41"/>
    <w:rsid w:val="00BA35F4"/>
    <w:rsid w:val="00BA3F66"/>
    <w:rsid w:val="00BA5E7A"/>
    <w:rsid w:val="00BA621F"/>
    <w:rsid w:val="00BA706C"/>
    <w:rsid w:val="00BA74C2"/>
    <w:rsid w:val="00BB033C"/>
    <w:rsid w:val="00BB066D"/>
    <w:rsid w:val="00BB0E0D"/>
    <w:rsid w:val="00BB1147"/>
    <w:rsid w:val="00BB1401"/>
    <w:rsid w:val="00BB15F1"/>
    <w:rsid w:val="00BB2116"/>
    <w:rsid w:val="00BB23EB"/>
    <w:rsid w:val="00BB300F"/>
    <w:rsid w:val="00BB304E"/>
    <w:rsid w:val="00BB4323"/>
    <w:rsid w:val="00BB4B84"/>
    <w:rsid w:val="00BB6E62"/>
    <w:rsid w:val="00BB71F0"/>
    <w:rsid w:val="00BBCEF3"/>
    <w:rsid w:val="00BC0472"/>
    <w:rsid w:val="00BC0B10"/>
    <w:rsid w:val="00BC2073"/>
    <w:rsid w:val="00BC2D90"/>
    <w:rsid w:val="00BC33B8"/>
    <w:rsid w:val="00BC3923"/>
    <w:rsid w:val="00BC3E42"/>
    <w:rsid w:val="00BC569D"/>
    <w:rsid w:val="00BC62ED"/>
    <w:rsid w:val="00BC6564"/>
    <w:rsid w:val="00BC6568"/>
    <w:rsid w:val="00BC6A33"/>
    <w:rsid w:val="00BC6C12"/>
    <w:rsid w:val="00BC7210"/>
    <w:rsid w:val="00BC79C8"/>
    <w:rsid w:val="00BC7BB2"/>
    <w:rsid w:val="00BD02BE"/>
    <w:rsid w:val="00BD07B1"/>
    <w:rsid w:val="00BD216C"/>
    <w:rsid w:val="00BD2457"/>
    <w:rsid w:val="00BD318F"/>
    <w:rsid w:val="00BD3407"/>
    <w:rsid w:val="00BD4BB4"/>
    <w:rsid w:val="00BD52C3"/>
    <w:rsid w:val="00BD56D1"/>
    <w:rsid w:val="00BD5C61"/>
    <w:rsid w:val="00BD6745"/>
    <w:rsid w:val="00BD6905"/>
    <w:rsid w:val="00BD6BE8"/>
    <w:rsid w:val="00BD7517"/>
    <w:rsid w:val="00BD75FD"/>
    <w:rsid w:val="00BD7B9B"/>
    <w:rsid w:val="00BD7F2D"/>
    <w:rsid w:val="00BE050F"/>
    <w:rsid w:val="00BE063C"/>
    <w:rsid w:val="00BE116F"/>
    <w:rsid w:val="00BE167D"/>
    <w:rsid w:val="00BE1CE6"/>
    <w:rsid w:val="00BE30F2"/>
    <w:rsid w:val="00BE3236"/>
    <w:rsid w:val="00BE3C3B"/>
    <w:rsid w:val="00BE5B9E"/>
    <w:rsid w:val="00BE7B7F"/>
    <w:rsid w:val="00BF0193"/>
    <w:rsid w:val="00BF0E99"/>
    <w:rsid w:val="00BF0FFB"/>
    <w:rsid w:val="00BF106D"/>
    <w:rsid w:val="00BF135A"/>
    <w:rsid w:val="00BF1D16"/>
    <w:rsid w:val="00BF2B60"/>
    <w:rsid w:val="00BF2C6B"/>
    <w:rsid w:val="00BF48AC"/>
    <w:rsid w:val="00BF6025"/>
    <w:rsid w:val="00BF6741"/>
    <w:rsid w:val="00BF677F"/>
    <w:rsid w:val="00BF6CBB"/>
    <w:rsid w:val="00BF7983"/>
    <w:rsid w:val="00C00376"/>
    <w:rsid w:val="00C00641"/>
    <w:rsid w:val="00C008BE"/>
    <w:rsid w:val="00C00BDA"/>
    <w:rsid w:val="00C01ECF"/>
    <w:rsid w:val="00C02F08"/>
    <w:rsid w:val="00C032CC"/>
    <w:rsid w:val="00C036B1"/>
    <w:rsid w:val="00C037A5"/>
    <w:rsid w:val="00C03FB4"/>
    <w:rsid w:val="00C03FDD"/>
    <w:rsid w:val="00C0434E"/>
    <w:rsid w:val="00C05976"/>
    <w:rsid w:val="00C05B7D"/>
    <w:rsid w:val="00C060DB"/>
    <w:rsid w:val="00C070CA"/>
    <w:rsid w:val="00C10816"/>
    <w:rsid w:val="00C10C10"/>
    <w:rsid w:val="00C10E4A"/>
    <w:rsid w:val="00C10E68"/>
    <w:rsid w:val="00C12762"/>
    <w:rsid w:val="00C12764"/>
    <w:rsid w:val="00C12865"/>
    <w:rsid w:val="00C12B3F"/>
    <w:rsid w:val="00C12C15"/>
    <w:rsid w:val="00C13527"/>
    <w:rsid w:val="00C13E9F"/>
    <w:rsid w:val="00C14092"/>
    <w:rsid w:val="00C147FC"/>
    <w:rsid w:val="00C15616"/>
    <w:rsid w:val="00C15E2F"/>
    <w:rsid w:val="00C17B0F"/>
    <w:rsid w:val="00C17BEF"/>
    <w:rsid w:val="00C2014C"/>
    <w:rsid w:val="00C20551"/>
    <w:rsid w:val="00C214CB"/>
    <w:rsid w:val="00C218CD"/>
    <w:rsid w:val="00C23614"/>
    <w:rsid w:val="00C23BD8"/>
    <w:rsid w:val="00C266B6"/>
    <w:rsid w:val="00C27C33"/>
    <w:rsid w:val="00C302D8"/>
    <w:rsid w:val="00C30463"/>
    <w:rsid w:val="00C3064C"/>
    <w:rsid w:val="00C30655"/>
    <w:rsid w:val="00C312F3"/>
    <w:rsid w:val="00C316C7"/>
    <w:rsid w:val="00C319F5"/>
    <w:rsid w:val="00C337FE"/>
    <w:rsid w:val="00C33879"/>
    <w:rsid w:val="00C33FE2"/>
    <w:rsid w:val="00C33FE6"/>
    <w:rsid w:val="00C35137"/>
    <w:rsid w:val="00C353E5"/>
    <w:rsid w:val="00C36B1F"/>
    <w:rsid w:val="00C36B94"/>
    <w:rsid w:val="00C3779E"/>
    <w:rsid w:val="00C37A36"/>
    <w:rsid w:val="00C4014C"/>
    <w:rsid w:val="00C409CF"/>
    <w:rsid w:val="00C40ECE"/>
    <w:rsid w:val="00C41F58"/>
    <w:rsid w:val="00C42981"/>
    <w:rsid w:val="00C42D9F"/>
    <w:rsid w:val="00C42F5E"/>
    <w:rsid w:val="00C431F7"/>
    <w:rsid w:val="00C43601"/>
    <w:rsid w:val="00C43936"/>
    <w:rsid w:val="00C4393C"/>
    <w:rsid w:val="00C44031"/>
    <w:rsid w:val="00C44221"/>
    <w:rsid w:val="00C44938"/>
    <w:rsid w:val="00C452C7"/>
    <w:rsid w:val="00C463C1"/>
    <w:rsid w:val="00C465AC"/>
    <w:rsid w:val="00C50C0A"/>
    <w:rsid w:val="00C51237"/>
    <w:rsid w:val="00C5186F"/>
    <w:rsid w:val="00C519BE"/>
    <w:rsid w:val="00C525A0"/>
    <w:rsid w:val="00C52AA9"/>
    <w:rsid w:val="00C538D3"/>
    <w:rsid w:val="00C54401"/>
    <w:rsid w:val="00C54D37"/>
    <w:rsid w:val="00C55A82"/>
    <w:rsid w:val="00C5702C"/>
    <w:rsid w:val="00C5774F"/>
    <w:rsid w:val="00C57CE9"/>
    <w:rsid w:val="00C6035E"/>
    <w:rsid w:val="00C60421"/>
    <w:rsid w:val="00C604A7"/>
    <w:rsid w:val="00C6077E"/>
    <w:rsid w:val="00C60BA2"/>
    <w:rsid w:val="00C612E2"/>
    <w:rsid w:val="00C6147A"/>
    <w:rsid w:val="00C61A8E"/>
    <w:rsid w:val="00C6205A"/>
    <w:rsid w:val="00C62172"/>
    <w:rsid w:val="00C62DA7"/>
    <w:rsid w:val="00C638BB"/>
    <w:rsid w:val="00C64271"/>
    <w:rsid w:val="00C64C71"/>
    <w:rsid w:val="00C65754"/>
    <w:rsid w:val="00C66165"/>
    <w:rsid w:val="00C6643F"/>
    <w:rsid w:val="00C66C05"/>
    <w:rsid w:val="00C67026"/>
    <w:rsid w:val="00C67EB0"/>
    <w:rsid w:val="00C70E3A"/>
    <w:rsid w:val="00C7110D"/>
    <w:rsid w:val="00C71549"/>
    <w:rsid w:val="00C7171D"/>
    <w:rsid w:val="00C7173C"/>
    <w:rsid w:val="00C7358F"/>
    <w:rsid w:val="00C7482F"/>
    <w:rsid w:val="00C749DB"/>
    <w:rsid w:val="00C756ED"/>
    <w:rsid w:val="00C75739"/>
    <w:rsid w:val="00C7682B"/>
    <w:rsid w:val="00C76E5B"/>
    <w:rsid w:val="00C771EE"/>
    <w:rsid w:val="00C7750A"/>
    <w:rsid w:val="00C77778"/>
    <w:rsid w:val="00C779D4"/>
    <w:rsid w:val="00C77E59"/>
    <w:rsid w:val="00C80B59"/>
    <w:rsid w:val="00C818CC"/>
    <w:rsid w:val="00C81E19"/>
    <w:rsid w:val="00C829EB"/>
    <w:rsid w:val="00C82CF3"/>
    <w:rsid w:val="00C82D1E"/>
    <w:rsid w:val="00C836FB"/>
    <w:rsid w:val="00C83FB5"/>
    <w:rsid w:val="00C845E5"/>
    <w:rsid w:val="00C84FD0"/>
    <w:rsid w:val="00C8726C"/>
    <w:rsid w:val="00C87745"/>
    <w:rsid w:val="00C87764"/>
    <w:rsid w:val="00C87B76"/>
    <w:rsid w:val="00C9095F"/>
    <w:rsid w:val="00C90CFA"/>
    <w:rsid w:val="00C91D44"/>
    <w:rsid w:val="00C92D8D"/>
    <w:rsid w:val="00C93233"/>
    <w:rsid w:val="00C93402"/>
    <w:rsid w:val="00C94EA9"/>
    <w:rsid w:val="00C9510F"/>
    <w:rsid w:val="00C9576F"/>
    <w:rsid w:val="00C95B20"/>
    <w:rsid w:val="00C95C50"/>
    <w:rsid w:val="00C97017"/>
    <w:rsid w:val="00C97091"/>
    <w:rsid w:val="00C97303"/>
    <w:rsid w:val="00CA021F"/>
    <w:rsid w:val="00CA05E7"/>
    <w:rsid w:val="00CA20B5"/>
    <w:rsid w:val="00CA25AD"/>
    <w:rsid w:val="00CA3528"/>
    <w:rsid w:val="00CA4682"/>
    <w:rsid w:val="00CA494A"/>
    <w:rsid w:val="00CA4EF7"/>
    <w:rsid w:val="00CA551C"/>
    <w:rsid w:val="00CA7226"/>
    <w:rsid w:val="00CA7286"/>
    <w:rsid w:val="00CB0B0F"/>
    <w:rsid w:val="00CB0D81"/>
    <w:rsid w:val="00CB1FED"/>
    <w:rsid w:val="00CB28FB"/>
    <w:rsid w:val="00CB2A2C"/>
    <w:rsid w:val="00CB2F1D"/>
    <w:rsid w:val="00CB2F8F"/>
    <w:rsid w:val="00CB48D1"/>
    <w:rsid w:val="00CB4DB2"/>
    <w:rsid w:val="00CB514B"/>
    <w:rsid w:val="00CB72C9"/>
    <w:rsid w:val="00CC0396"/>
    <w:rsid w:val="00CC0459"/>
    <w:rsid w:val="00CC107F"/>
    <w:rsid w:val="00CC1969"/>
    <w:rsid w:val="00CC1EA3"/>
    <w:rsid w:val="00CC28FC"/>
    <w:rsid w:val="00CC44B5"/>
    <w:rsid w:val="00CC56D4"/>
    <w:rsid w:val="00CC603E"/>
    <w:rsid w:val="00CC6365"/>
    <w:rsid w:val="00CC674C"/>
    <w:rsid w:val="00CC77CE"/>
    <w:rsid w:val="00CC7AF4"/>
    <w:rsid w:val="00CD0154"/>
    <w:rsid w:val="00CD0363"/>
    <w:rsid w:val="00CD03A4"/>
    <w:rsid w:val="00CD0A7B"/>
    <w:rsid w:val="00CD0D4A"/>
    <w:rsid w:val="00CD0F44"/>
    <w:rsid w:val="00CD11A0"/>
    <w:rsid w:val="00CD1362"/>
    <w:rsid w:val="00CD1E9A"/>
    <w:rsid w:val="00CD2561"/>
    <w:rsid w:val="00CD2700"/>
    <w:rsid w:val="00CD4E50"/>
    <w:rsid w:val="00CD54D9"/>
    <w:rsid w:val="00CD620C"/>
    <w:rsid w:val="00CD68ED"/>
    <w:rsid w:val="00CD750F"/>
    <w:rsid w:val="00CE032C"/>
    <w:rsid w:val="00CE08A8"/>
    <w:rsid w:val="00CE0A34"/>
    <w:rsid w:val="00CE0F0D"/>
    <w:rsid w:val="00CE19D8"/>
    <w:rsid w:val="00CE1F80"/>
    <w:rsid w:val="00CE27B1"/>
    <w:rsid w:val="00CE2971"/>
    <w:rsid w:val="00CE323C"/>
    <w:rsid w:val="00CE4444"/>
    <w:rsid w:val="00CE44BB"/>
    <w:rsid w:val="00CE45C7"/>
    <w:rsid w:val="00CE52F2"/>
    <w:rsid w:val="00CE55C0"/>
    <w:rsid w:val="00CE630A"/>
    <w:rsid w:val="00CE7AE4"/>
    <w:rsid w:val="00CF0A98"/>
    <w:rsid w:val="00CF129B"/>
    <w:rsid w:val="00CF12AD"/>
    <w:rsid w:val="00CF13FD"/>
    <w:rsid w:val="00CF162B"/>
    <w:rsid w:val="00CF3EE4"/>
    <w:rsid w:val="00CF6195"/>
    <w:rsid w:val="00CF66C9"/>
    <w:rsid w:val="00CF70A2"/>
    <w:rsid w:val="00CF77C0"/>
    <w:rsid w:val="00D00BE7"/>
    <w:rsid w:val="00D01222"/>
    <w:rsid w:val="00D0162D"/>
    <w:rsid w:val="00D0179B"/>
    <w:rsid w:val="00D019C7"/>
    <w:rsid w:val="00D02308"/>
    <w:rsid w:val="00D0253F"/>
    <w:rsid w:val="00D02B06"/>
    <w:rsid w:val="00D02B4B"/>
    <w:rsid w:val="00D02E0F"/>
    <w:rsid w:val="00D03A54"/>
    <w:rsid w:val="00D03C64"/>
    <w:rsid w:val="00D03FB6"/>
    <w:rsid w:val="00D040EC"/>
    <w:rsid w:val="00D04215"/>
    <w:rsid w:val="00D042B5"/>
    <w:rsid w:val="00D04414"/>
    <w:rsid w:val="00D05217"/>
    <w:rsid w:val="00D053EA"/>
    <w:rsid w:val="00D05B32"/>
    <w:rsid w:val="00D06B04"/>
    <w:rsid w:val="00D06D97"/>
    <w:rsid w:val="00D06FCC"/>
    <w:rsid w:val="00D07D73"/>
    <w:rsid w:val="00D1052E"/>
    <w:rsid w:val="00D10C21"/>
    <w:rsid w:val="00D11043"/>
    <w:rsid w:val="00D11259"/>
    <w:rsid w:val="00D123CF"/>
    <w:rsid w:val="00D12411"/>
    <w:rsid w:val="00D12C49"/>
    <w:rsid w:val="00D12F4E"/>
    <w:rsid w:val="00D1337D"/>
    <w:rsid w:val="00D141B6"/>
    <w:rsid w:val="00D14BFB"/>
    <w:rsid w:val="00D150A3"/>
    <w:rsid w:val="00D15807"/>
    <w:rsid w:val="00D1586A"/>
    <w:rsid w:val="00D16CB7"/>
    <w:rsid w:val="00D1702B"/>
    <w:rsid w:val="00D20E21"/>
    <w:rsid w:val="00D20F0C"/>
    <w:rsid w:val="00D21404"/>
    <w:rsid w:val="00D2156E"/>
    <w:rsid w:val="00D21960"/>
    <w:rsid w:val="00D22484"/>
    <w:rsid w:val="00D22F30"/>
    <w:rsid w:val="00D2314A"/>
    <w:rsid w:val="00D2383F"/>
    <w:rsid w:val="00D239B8"/>
    <w:rsid w:val="00D23C4B"/>
    <w:rsid w:val="00D23DF1"/>
    <w:rsid w:val="00D243F7"/>
    <w:rsid w:val="00D25C55"/>
    <w:rsid w:val="00D272C4"/>
    <w:rsid w:val="00D27585"/>
    <w:rsid w:val="00D27E59"/>
    <w:rsid w:val="00D27F4A"/>
    <w:rsid w:val="00D30FE9"/>
    <w:rsid w:val="00D31495"/>
    <w:rsid w:val="00D31A41"/>
    <w:rsid w:val="00D321F6"/>
    <w:rsid w:val="00D32247"/>
    <w:rsid w:val="00D3239F"/>
    <w:rsid w:val="00D335B5"/>
    <w:rsid w:val="00D33FBA"/>
    <w:rsid w:val="00D34538"/>
    <w:rsid w:val="00D34D17"/>
    <w:rsid w:val="00D35090"/>
    <w:rsid w:val="00D350DF"/>
    <w:rsid w:val="00D35594"/>
    <w:rsid w:val="00D3588F"/>
    <w:rsid w:val="00D35A2D"/>
    <w:rsid w:val="00D36DE3"/>
    <w:rsid w:val="00D4086D"/>
    <w:rsid w:val="00D40D4D"/>
    <w:rsid w:val="00D410A9"/>
    <w:rsid w:val="00D41608"/>
    <w:rsid w:val="00D4211C"/>
    <w:rsid w:val="00D42A6C"/>
    <w:rsid w:val="00D43011"/>
    <w:rsid w:val="00D43057"/>
    <w:rsid w:val="00D43A30"/>
    <w:rsid w:val="00D441D4"/>
    <w:rsid w:val="00D44323"/>
    <w:rsid w:val="00D4587C"/>
    <w:rsid w:val="00D45CEB"/>
    <w:rsid w:val="00D46861"/>
    <w:rsid w:val="00D46C4A"/>
    <w:rsid w:val="00D46DF1"/>
    <w:rsid w:val="00D46E78"/>
    <w:rsid w:val="00D4734C"/>
    <w:rsid w:val="00D50072"/>
    <w:rsid w:val="00D502F4"/>
    <w:rsid w:val="00D51577"/>
    <w:rsid w:val="00D51A8F"/>
    <w:rsid w:val="00D51AA9"/>
    <w:rsid w:val="00D51ACF"/>
    <w:rsid w:val="00D5204C"/>
    <w:rsid w:val="00D52215"/>
    <w:rsid w:val="00D53AE9"/>
    <w:rsid w:val="00D54043"/>
    <w:rsid w:val="00D54210"/>
    <w:rsid w:val="00D5549B"/>
    <w:rsid w:val="00D55708"/>
    <w:rsid w:val="00D5634F"/>
    <w:rsid w:val="00D5657C"/>
    <w:rsid w:val="00D575ED"/>
    <w:rsid w:val="00D6027A"/>
    <w:rsid w:val="00D60FCC"/>
    <w:rsid w:val="00D6161D"/>
    <w:rsid w:val="00D6193D"/>
    <w:rsid w:val="00D61C7E"/>
    <w:rsid w:val="00D61F8F"/>
    <w:rsid w:val="00D623B7"/>
    <w:rsid w:val="00D62BE2"/>
    <w:rsid w:val="00D63094"/>
    <w:rsid w:val="00D639C0"/>
    <w:rsid w:val="00D6443F"/>
    <w:rsid w:val="00D64808"/>
    <w:rsid w:val="00D64959"/>
    <w:rsid w:val="00D655C6"/>
    <w:rsid w:val="00D6596B"/>
    <w:rsid w:val="00D65DCA"/>
    <w:rsid w:val="00D6629D"/>
    <w:rsid w:val="00D663EA"/>
    <w:rsid w:val="00D6748D"/>
    <w:rsid w:val="00D67A78"/>
    <w:rsid w:val="00D70932"/>
    <w:rsid w:val="00D71BA4"/>
    <w:rsid w:val="00D71E68"/>
    <w:rsid w:val="00D71FE4"/>
    <w:rsid w:val="00D739A0"/>
    <w:rsid w:val="00D74223"/>
    <w:rsid w:val="00D742AD"/>
    <w:rsid w:val="00D759DE"/>
    <w:rsid w:val="00D75A90"/>
    <w:rsid w:val="00D766ED"/>
    <w:rsid w:val="00D76CBD"/>
    <w:rsid w:val="00D80847"/>
    <w:rsid w:val="00D8096C"/>
    <w:rsid w:val="00D8188A"/>
    <w:rsid w:val="00D819B9"/>
    <w:rsid w:val="00D82D1C"/>
    <w:rsid w:val="00D82E9B"/>
    <w:rsid w:val="00D84463"/>
    <w:rsid w:val="00D84EC0"/>
    <w:rsid w:val="00D860E1"/>
    <w:rsid w:val="00D86822"/>
    <w:rsid w:val="00D8696F"/>
    <w:rsid w:val="00D869F3"/>
    <w:rsid w:val="00D8746F"/>
    <w:rsid w:val="00D90371"/>
    <w:rsid w:val="00D903C2"/>
    <w:rsid w:val="00D90E66"/>
    <w:rsid w:val="00D912EB"/>
    <w:rsid w:val="00D914FC"/>
    <w:rsid w:val="00D916F3"/>
    <w:rsid w:val="00D9176E"/>
    <w:rsid w:val="00D91A3B"/>
    <w:rsid w:val="00D91C32"/>
    <w:rsid w:val="00D925E4"/>
    <w:rsid w:val="00D928E5"/>
    <w:rsid w:val="00D93127"/>
    <w:rsid w:val="00D93395"/>
    <w:rsid w:val="00D93CBB"/>
    <w:rsid w:val="00D942F6"/>
    <w:rsid w:val="00D95178"/>
    <w:rsid w:val="00D95385"/>
    <w:rsid w:val="00D95386"/>
    <w:rsid w:val="00D958B6"/>
    <w:rsid w:val="00D960A0"/>
    <w:rsid w:val="00D97636"/>
    <w:rsid w:val="00D9769C"/>
    <w:rsid w:val="00D977E5"/>
    <w:rsid w:val="00DA0433"/>
    <w:rsid w:val="00DA0B3A"/>
    <w:rsid w:val="00DA0EBB"/>
    <w:rsid w:val="00DA160C"/>
    <w:rsid w:val="00DA1AE0"/>
    <w:rsid w:val="00DA1F07"/>
    <w:rsid w:val="00DA2697"/>
    <w:rsid w:val="00DA277E"/>
    <w:rsid w:val="00DA36E6"/>
    <w:rsid w:val="00DA4A3C"/>
    <w:rsid w:val="00DA4A65"/>
    <w:rsid w:val="00DA4ADD"/>
    <w:rsid w:val="00DA56B4"/>
    <w:rsid w:val="00DA62E9"/>
    <w:rsid w:val="00DA6736"/>
    <w:rsid w:val="00DA6ACD"/>
    <w:rsid w:val="00DA6C23"/>
    <w:rsid w:val="00DA7DA2"/>
    <w:rsid w:val="00DB198A"/>
    <w:rsid w:val="00DB19AC"/>
    <w:rsid w:val="00DB32E7"/>
    <w:rsid w:val="00DB3874"/>
    <w:rsid w:val="00DB3C86"/>
    <w:rsid w:val="00DB3F2C"/>
    <w:rsid w:val="00DB4014"/>
    <w:rsid w:val="00DB401D"/>
    <w:rsid w:val="00DB40CE"/>
    <w:rsid w:val="00DB4427"/>
    <w:rsid w:val="00DB47F3"/>
    <w:rsid w:val="00DB5E86"/>
    <w:rsid w:val="00DB6066"/>
    <w:rsid w:val="00DB60C4"/>
    <w:rsid w:val="00DB642F"/>
    <w:rsid w:val="00DB6AB3"/>
    <w:rsid w:val="00DB7E9D"/>
    <w:rsid w:val="00DC00B6"/>
    <w:rsid w:val="00DC0195"/>
    <w:rsid w:val="00DC0315"/>
    <w:rsid w:val="00DC155A"/>
    <w:rsid w:val="00DC1722"/>
    <w:rsid w:val="00DC1EB8"/>
    <w:rsid w:val="00DC1F32"/>
    <w:rsid w:val="00DC203D"/>
    <w:rsid w:val="00DC2E12"/>
    <w:rsid w:val="00DC30FF"/>
    <w:rsid w:val="00DC3708"/>
    <w:rsid w:val="00DC3815"/>
    <w:rsid w:val="00DC3C37"/>
    <w:rsid w:val="00DC416B"/>
    <w:rsid w:val="00DC42A7"/>
    <w:rsid w:val="00DC5BC9"/>
    <w:rsid w:val="00DC663E"/>
    <w:rsid w:val="00DC66A9"/>
    <w:rsid w:val="00DC69F0"/>
    <w:rsid w:val="00DC6A3E"/>
    <w:rsid w:val="00DC6E4F"/>
    <w:rsid w:val="00DC7F27"/>
    <w:rsid w:val="00DD07AE"/>
    <w:rsid w:val="00DD120F"/>
    <w:rsid w:val="00DD240D"/>
    <w:rsid w:val="00DD2C4D"/>
    <w:rsid w:val="00DD2C96"/>
    <w:rsid w:val="00DD2EC4"/>
    <w:rsid w:val="00DD333E"/>
    <w:rsid w:val="00DD33B9"/>
    <w:rsid w:val="00DD37D2"/>
    <w:rsid w:val="00DD3AFC"/>
    <w:rsid w:val="00DD54A9"/>
    <w:rsid w:val="00DD664D"/>
    <w:rsid w:val="00DD7352"/>
    <w:rsid w:val="00DD7D09"/>
    <w:rsid w:val="00DD7E3F"/>
    <w:rsid w:val="00DE046B"/>
    <w:rsid w:val="00DE0BC0"/>
    <w:rsid w:val="00DE0D74"/>
    <w:rsid w:val="00DE0F10"/>
    <w:rsid w:val="00DE36E4"/>
    <w:rsid w:val="00DE3FC4"/>
    <w:rsid w:val="00DE4E84"/>
    <w:rsid w:val="00DE5DA5"/>
    <w:rsid w:val="00DE61D6"/>
    <w:rsid w:val="00DE6974"/>
    <w:rsid w:val="00DE6C24"/>
    <w:rsid w:val="00DF0143"/>
    <w:rsid w:val="00DF0902"/>
    <w:rsid w:val="00DF0C6A"/>
    <w:rsid w:val="00DF1ABA"/>
    <w:rsid w:val="00DF20D3"/>
    <w:rsid w:val="00DF287A"/>
    <w:rsid w:val="00DF3D9F"/>
    <w:rsid w:val="00DF4609"/>
    <w:rsid w:val="00DF586C"/>
    <w:rsid w:val="00DF6C6D"/>
    <w:rsid w:val="00DF7324"/>
    <w:rsid w:val="00DF7DD0"/>
    <w:rsid w:val="00E00621"/>
    <w:rsid w:val="00E00BB7"/>
    <w:rsid w:val="00E00BE3"/>
    <w:rsid w:val="00E013C0"/>
    <w:rsid w:val="00E015B1"/>
    <w:rsid w:val="00E015B9"/>
    <w:rsid w:val="00E01867"/>
    <w:rsid w:val="00E02A87"/>
    <w:rsid w:val="00E037B1"/>
    <w:rsid w:val="00E03B36"/>
    <w:rsid w:val="00E03DEA"/>
    <w:rsid w:val="00E04305"/>
    <w:rsid w:val="00E0456D"/>
    <w:rsid w:val="00E054B5"/>
    <w:rsid w:val="00E05615"/>
    <w:rsid w:val="00E06793"/>
    <w:rsid w:val="00E067A6"/>
    <w:rsid w:val="00E0690F"/>
    <w:rsid w:val="00E107BB"/>
    <w:rsid w:val="00E1196F"/>
    <w:rsid w:val="00E11A3F"/>
    <w:rsid w:val="00E11A57"/>
    <w:rsid w:val="00E1333F"/>
    <w:rsid w:val="00E13B01"/>
    <w:rsid w:val="00E14532"/>
    <w:rsid w:val="00E147DE"/>
    <w:rsid w:val="00E14D81"/>
    <w:rsid w:val="00E14E00"/>
    <w:rsid w:val="00E14ED0"/>
    <w:rsid w:val="00E156FE"/>
    <w:rsid w:val="00E1617D"/>
    <w:rsid w:val="00E172B8"/>
    <w:rsid w:val="00E17DD6"/>
    <w:rsid w:val="00E209AB"/>
    <w:rsid w:val="00E20B43"/>
    <w:rsid w:val="00E20FD6"/>
    <w:rsid w:val="00E21368"/>
    <w:rsid w:val="00E21D81"/>
    <w:rsid w:val="00E22653"/>
    <w:rsid w:val="00E22C15"/>
    <w:rsid w:val="00E2395B"/>
    <w:rsid w:val="00E23AAD"/>
    <w:rsid w:val="00E23E8B"/>
    <w:rsid w:val="00E23F7A"/>
    <w:rsid w:val="00E242B0"/>
    <w:rsid w:val="00E249C8"/>
    <w:rsid w:val="00E2538F"/>
    <w:rsid w:val="00E261F8"/>
    <w:rsid w:val="00E264BF"/>
    <w:rsid w:val="00E300EE"/>
    <w:rsid w:val="00E30AEC"/>
    <w:rsid w:val="00E30DD1"/>
    <w:rsid w:val="00E31799"/>
    <w:rsid w:val="00E32433"/>
    <w:rsid w:val="00E32480"/>
    <w:rsid w:val="00E325BB"/>
    <w:rsid w:val="00E33081"/>
    <w:rsid w:val="00E3376C"/>
    <w:rsid w:val="00E33B77"/>
    <w:rsid w:val="00E3437A"/>
    <w:rsid w:val="00E349A0"/>
    <w:rsid w:val="00E349F8"/>
    <w:rsid w:val="00E34A01"/>
    <w:rsid w:val="00E355F3"/>
    <w:rsid w:val="00E35AB3"/>
    <w:rsid w:val="00E3688D"/>
    <w:rsid w:val="00E368D1"/>
    <w:rsid w:val="00E36A71"/>
    <w:rsid w:val="00E36A83"/>
    <w:rsid w:val="00E370B0"/>
    <w:rsid w:val="00E37D3F"/>
    <w:rsid w:val="00E412CF"/>
    <w:rsid w:val="00E42081"/>
    <w:rsid w:val="00E42D77"/>
    <w:rsid w:val="00E4316F"/>
    <w:rsid w:val="00E43836"/>
    <w:rsid w:val="00E43A09"/>
    <w:rsid w:val="00E441C4"/>
    <w:rsid w:val="00E448E3"/>
    <w:rsid w:val="00E44C92"/>
    <w:rsid w:val="00E44E79"/>
    <w:rsid w:val="00E470FB"/>
    <w:rsid w:val="00E4797F"/>
    <w:rsid w:val="00E5048B"/>
    <w:rsid w:val="00E5210C"/>
    <w:rsid w:val="00E52F73"/>
    <w:rsid w:val="00E5353C"/>
    <w:rsid w:val="00E54097"/>
    <w:rsid w:val="00E5424C"/>
    <w:rsid w:val="00E543A5"/>
    <w:rsid w:val="00E554C9"/>
    <w:rsid w:val="00E55592"/>
    <w:rsid w:val="00E5567F"/>
    <w:rsid w:val="00E56A27"/>
    <w:rsid w:val="00E57BCC"/>
    <w:rsid w:val="00E60C5F"/>
    <w:rsid w:val="00E622F0"/>
    <w:rsid w:val="00E62F7E"/>
    <w:rsid w:val="00E64286"/>
    <w:rsid w:val="00E647B3"/>
    <w:rsid w:val="00E65274"/>
    <w:rsid w:val="00E6603A"/>
    <w:rsid w:val="00E67687"/>
    <w:rsid w:val="00E67AC5"/>
    <w:rsid w:val="00E67E33"/>
    <w:rsid w:val="00E70E9F"/>
    <w:rsid w:val="00E7263A"/>
    <w:rsid w:val="00E728AA"/>
    <w:rsid w:val="00E733CA"/>
    <w:rsid w:val="00E73435"/>
    <w:rsid w:val="00E73B50"/>
    <w:rsid w:val="00E7400E"/>
    <w:rsid w:val="00E7415E"/>
    <w:rsid w:val="00E7484F"/>
    <w:rsid w:val="00E760FE"/>
    <w:rsid w:val="00E76333"/>
    <w:rsid w:val="00E76807"/>
    <w:rsid w:val="00E772EF"/>
    <w:rsid w:val="00E7753A"/>
    <w:rsid w:val="00E77E33"/>
    <w:rsid w:val="00E81838"/>
    <w:rsid w:val="00E826E5"/>
    <w:rsid w:val="00E827A9"/>
    <w:rsid w:val="00E837A6"/>
    <w:rsid w:val="00E83EFB"/>
    <w:rsid w:val="00E8482E"/>
    <w:rsid w:val="00E84E0B"/>
    <w:rsid w:val="00E85359"/>
    <w:rsid w:val="00E85F6F"/>
    <w:rsid w:val="00E919A2"/>
    <w:rsid w:val="00E9200E"/>
    <w:rsid w:val="00E93D91"/>
    <w:rsid w:val="00E9520A"/>
    <w:rsid w:val="00E953A2"/>
    <w:rsid w:val="00E95A3A"/>
    <w:rsid w:val="00E963BF"/>
    <w:rsid w:val="00EA0A48"/>
    <w:rsid w:val="00EA0FB7"/>
    <w:rsid w:val="00EA1235"/>
    <w:rsid w:val="00EA1787"/>
    <w:rsid w:val="00EA1A3C"/>
    <w:rsid w:val="00EA1B57"/>
    <w:rsid w:val="00EA21E3"/>
    <w:rsid w:val="00EA23F7"/>
    <w:rsid w:val="00EA2887"/>
    <w:rsid w:val="00EA2986"/>
    <w:rsid w:val="00EA2A22"/>
    <w:rsid w:val="00EA3992"/>
    <w:rsid w:val="00EA3A91"/>
    <w:rsid w:val="00EA44A0"/>
    <w:rsid w:val="00EA578D"/>
    <w:rsid w:val="00EA69EF"/>
    <w:rsid w:val="00EA6F17"/>
    <w:rsid w:val="00EB02C9"/>
    <w:rsid w:val="00EB0E65"/>
    <w:rsid w:val="00EB133B"/>
    <w:rsid w:val="00EB1ABC"/>
    <w:rsid w:val="00EB2394"/>
    <w:rsid w:val="00EB35DD"/>
    <w:rsid w:val="00EB364E"/>
    <w:rsid w:val="00EB3FAB"/>
    <w:rsid w:val="00EB46A7"/>
    <w:rsid w:val="00EB46CC"/>
    <w:rsid w:val="00EB53EA"/>
    <w:rsid w:val="00EB59BA"/>
    <w:rsid w:val="00EB5B6F"/>
    <w:rsid w:val="00EB5D80"/>
    <w:rsid w:val="00EB644F"/>
    <w:rsid w:val="00EB6ED2"/>
    <w:rsid w:val="00EB70BB"/>
    <w:rsid w:val="00EB7748"/>
    <w:rsid w:val="00EC0C35"/>
    <w:rsid w:val="00EC1474"/>
    <w:rsid w:val="00EC200B"/>
    <w:rsid w:val="00EC253E"/>
    <w:rsid w:val="00EC2E19"/>
    <w:rsid w:val="00EC3007"/>
    <w:rsid w:val="00EC34AB"/>
    <w:rsid w:val="00EC3C67"/>
    <w:rsid w:val="00EC4A02"/>
    <w:rsid w:val="00EC4AA2"/>
    <w:rsid w:val="00EC4F72"/>
    <w:rsid w:val="00EC5062"/>
    <w:rsid w:val="00EC5B73"/>
    <w:rsid w:val="00EC5DE1"/>
    <w:rsid w:val="00EC5EBC"/>
    <w:rsid w:val="00EC5F2F"/>
    <w:rsid w:val="00EC5F99"/>
    <w:rsid w:val="00EC6252"/>
    <w:rsid w:val="00EC648E"/>
    <w:rsid w:val="00EC68CD"/>
    <w:rsid w:val="00EC6EB2"/>
    <w:rsid w:val="00EC718F"/>
    <w:rsid w:val="00EC79C2"/>
    <w:rsid w:val="00ED0196"/>
    <w:rsid w:val="00ED1C43"/>
    <w:rsid w:val="00ED2737"/>
    <w:rsid w:val="00ED2D30"/>
    <w:rsid w:val="00ED2D73"/>
    <w:rsid w:val="00ED2E31"/>
    <w:rsid w:val="00ED303B"/>
    <w:rsid w:val="00ED309C"/>
    <w:rsid w:val="00ED37AD"/>
    <w:rsid w:val="00ED37AF"/>
    <w:rsid w:val="00ED4912"/>
    <w:rsid w:val="00ED5022"/>
    <w:rsid w:val="00ED52A5"/>
    <w:rsid w:val="00ED5BD8"/>
    <w:rsid w:val="00ED69A7"/>
    <w:rsid w:val="00ED6E4D"/>
    <w:rsid w:val="00ED79F1"/>
    <w:rsid w:val="00EE034B"/>
    <w:rsid w:val="00EE1A63"/>
    <w:rsid w:val="00EE1CAF"/>
    <w:rsid w:val="00EE2168"/>
    <w:rsid w:val="00EE4AAB"/>
    <w:rsid w:val="00EE54A2"/>
    <w:rsid w:val="00EE6219"/>
    <w:rsid w:val="00EE6414"/>
    <w:rsid w:val="00EE689F"/>
    <w:rsid w:val="00EE71CE"/>
    <w:rsid w:val="00EE74B5"/>
    <w:rsid w:val="00EE7572"/>
    <w:rsid w:val="00EE7624"/>
    <w:rsid w:val="00EF123F"/>
    <w:rsid w:val="00EF133F"/>
    <w:rsid w:val="00EF1967"/>
    <w:rsid w:val="00EF32A5"/>
    <w:rsid w:val="00EF3AA0"/>
    <w:rsid w:val="00EF3FB3"/>
    <w:rsid w:val="00EF4D48"/>
    <w:rsid w:val="00EF6A9F"/>
    <w:rsid w:val="00EF6EE1"/>
    <w:rsid w:val="00F01D48"/>
    <w:rsid w:val="00F0223D"/>
    <w:rsid w:val="00F0321B"/>
    <w:rsid w:val="00F04730"/>
    <w:rsid w:val="00F04A06"/>
    <w:rsid w:val="00F04BDF"/>
    <w:rsid w:val="00F05041"/>
    <w:rsid w:val="00F056E9"/>
    <w:rsid w:val="00F05F7A"/>
    <w:rsid w:val="00F05F9E"/>
    <w:rsid w:val="00F067D3"/>
    <w:rsid w:val="00F06C96"/>
    <w:rsid w:val="00F07482"/>
    <w:rsid w:val="00F078DB"/>
    <w:rsid w:val="00F07DD1"/>
    <w:rsid w:val="00F1078C"/>
    <w:rsid w:val="00F10B8F"/>
    <w:rsid w:val="00F11280"/>
    <w:rsid w:val="00F1246E"/>
    <w:rsid w:val="00F124E0"/>
    <w:rsid w:val="00F1549C"/>
    <w:rsid w:val="00F15D30"/>
    <w:rsid w:val="00F20260"/>
    <w:rsid w:val="00F203CA"/>
    <w:rsid w:val="00F20DA1"/>
    <w:rsid w:val="00F20EDE"/>
    <w:rsid w:val="00F211D2"/>
    <w:rsid w:val="00F22A8B"/>
    <w:rsid w:val="00F22CE1"/>
    <w:rsid w:val="00F23A8A"/>
    <w:rsid w:val="00F23B9A"/>
    <w:rsid w:val="00F24220"/>
    <w:rsid w:val="00F2437B"/>
    <w:rsid w:val="00F254F7"/>
    <w:rsid w:val="00F255DE"/>
    <w:rsid w:val="00F25A52"/>
    <w:rsid w:val="00F26450"/>
    <w:rsid w:val="00F26988"/>
    <w:rsid w:val="00F26CE6"/>
    <w:rsid w:val="00F2746A"/>
    <w:rsid w:val="00F300DB"/>
    <w:rsid w:val="00F3070B"/>
    <w:rsid w:val="00F30C4F"/>
    <w:rsid w:val="00F31931"/>
    <w:rsid w:val="00F31A09"/>
    <w:rsid w:val="00F32233"/>
    <w:rsid w:val="00F339CB"/>
    <w:rsid w:val="00F356BD"/>
    <w:rsid w:val="00F36212"/>
    <w:rsid w:val="00F3645A"/>
    <w:rsid w:val="00F36749"/>
    <w:rsid w:val="00F3691C"/>
    <w:rsid w:val="00F369EE"/>
    <w:rsid w:val="00F36F13"/>
    <w:rsid w:val="00F40024"/>
    <w:rsid w:val="00F415DA"/>
    <w:rsid w:val="00F41A48"/>
    <w:rsid w:val="00F42295"/>
    <w:rsid w:val="00F42569"/>
    <w:rsid w:val="00F43815"/>
    <w:rsid w:val="00F45B38"/>
    <w:rsid w:val="00F473A8"/>
    <w:rsid w:val="00F47664"/>
    <w:rsid w:val="00F47950"/>
    <w:rsid w:val="00F50D12"/>
    <w:rsid w:val="00F50E59"/>
    <w:rsid w:val="00F52080"/>
    <w:rsid w:val="00F5367C"/>
    <w:rsid w:val="00F5379A"/>
    <w:rsid w:val="00F54129"/>
    <w:rsid w:val="00F543F9"/>
    <w:rsid w:val="00F553FD"/>
    <w:rsid w:val="00F560D1"/>
    <w:rsid w:val="00F562CB"/>
    <w:rsid w:val="00F564F5"/>
    <w:rsid w:val="00F56BD6"/>
    <w:rsid w:val="00F56D79"/>
    <w:rsid w:val="00F56DCB"/>
    <w:rsid w:val="00F57499"/>
    <w:rsid w:val="00F57A57"/>
    <w:rsid w:val="00F57BE3"/>
    <w:rsid w:val="00F57C58"/>
    <w:rsid w:val="00F57FAC"/>
    <w:rsid w:val="00F63485"/>
    <w:rsid w:val="00F6404A"/>
    <w:rsid w:val="00F640B8"/>
    <w:rsid w:val="00F7009A"/>
    <w:rsid w:val="00F701FA"/>
    <w:rsid w:val="00F70DF1"/>
    <w:rsid w:val="00F711FE"/>
    <w:rsid w:val="00F718C5"/>
    <w:rsid w:val="00F71971"/>
    <w:rsid w:val="00F71BE8"/>
    <w:rsid w:val="00F71EB8"/>
    <w:rsid w:val="00F7279B"/>
    <w:rsid w:val="00F73A4D"/>
    <w:rsid w:val="00F73DCB"/>
    <w:rsid w:val="00F75C0D"/>
    <w:rsid w:val="00F75FBD"/>
    <w:rsid w:val="00F76B33"/>
    <w:rsid w:val="00F76CBA"/>
    <w:rsid w:val="00F777CA"/>
    <w:rsid w:val="00F777E8"/>
    <w:rsid w:val="00F8015D"/>
    <w:rsid w:val="00F80E7A"/>
    <w:rsid w:val="00F810EE"/>
    <w:rsid w:val="00F826FF"/>
    <w:rsid w:val="00F83070"/>
    <w:rsid w:val="00F8320D"/>
    <w:rsid w:val="00F849B8"/>
    <w:rsid w:val="00F84CC6"/>
    <w:rsid w:val="00F855F2"/>
    <w:rsid w:val="00F85D91"/>
    <w:rsid w:val="00F86076"/>
    <w:rsid w:val="00F87CBB"/>
    <w:rsid w:val="00F90B5D"/>
    <w:rsid w:val="00F92659"/>
    <w:rsid w:val="00F928C3"/>
    <w:rsid w:val="00F9329D"/>
    <w:rsid w:val="00F93DF0"/>
    <w:rsid w:val="00F94492"/>
    <w:rsid w:val="00F9450F"/>
    <w:rsid w:val="00F9578B"/>
    <w:rsid w:val="00F95EAB"/>
    <w:rsid w:val="00F95FA2"/>
    <w:rsid w:val="00F96219"/>
    <w:rsid w:val="00F96DD9"/>
    <w:rsid w:val="00F974A4"/>
    <w:rsid w:val="00F977DB"/>
    <w:rsid w:val="00FA043C"/>
    <w:rsid w:val="00FA066C"/>
    <w:rsid w:val="00FA15F7"/>
    <w:rsid w:val="00FA171B"/>
    <w:rsid w:val="00FA1B80"/>
    <w:rsid w:val="00FA2008"/>
    <w:rsid w:val="00FA2195"/>
    <w:rsid w:val="00FA2220"/>
    <w:rsid w:val="00FA2498"/>
    <w:rsid w:val="00FA289E"/>
    <w:rsid w:val="00FA4B4E"/>
    <w:rsid w:val="00FA56B1"/>
    <w:rsid w:val="00FA741E"/>
    <w:rsid w:val="00FB0755"/>
    <w:rsid w:val="00FB0D10"/>
    <w:rsid w:val="00FB1E09"/>
    <w:rsid w:val="00FB2622"/>
    <w:rsid w:val="00FB27EE"/>
    <w:rsid w:val="00FB2E5E"/>
    <w:rsid w:val="00FB318F"/>
    <w:rsid w:val="00FB5402"/>
    <w:rsid w:val="00FB56BD"/>
    <w:rsid w:val="00FB56D5"/>
    <w:rsid w:val="00FB58A2"/>
    <w:rsid w:val="00FB6975"/>
    <w:rsid w:val="00FB7091"/>
    <w:rsid w:val="00FB7B3B"/>
    <w:rsid w:val="00FB7CFD"/>
    <w:rsid w:val="00FC0779"/>
    <w:rsid w:val="00FC16C6"/>
    <w:rsid w:val="00FC1B3B"/>
    <w:rsid w:val="00FC27BE"/>
    <w:rsid w:val="00FC44DA"/>
    <w:rsid w:val="00FC4504"/>
    <w:rsid w:val="00FC4C5F"/>
    <w:rsid w:val="00FC5921"/>
    <w:rsid w:val="00FC60A3"/>
    <w:rsid w:val="00FC681E"/>
    <w:rsid w:val="00FC6AF9"/>
    <w:rsid w:val="00FC6C61"/>
    <w:rsid w:val="00FC6D5B"/>
    <w:rsid w:val="00FC7661"/>
    <w:rsid w:val="00FD0BAF"/>
    <w:rsid w:val="00FD1897"/>
    <w:rsid w:val="00FD1C9A"/>
    <w:rsid w:val="00FD214F"/>
    <w:rsid w:val="00FD218D"/>
    <w:rsid w:val="00FD24DE"/>
    <w:rsid w:val="00FD3162"/>
    <w:rsid w:val="00FD41F0"/>
    <w:rsid w:val="00FD4AA0"/>
    <w:rsid w:val="00FD4CB9"/>
    <w:rsid w:val="00FD5540"/>
    <w:rsid w:val="00FD5A4C"/>
    <w:rsid w:val="00FD5EC5"/>
    <w:rsid w:val="00FE05F8"/>
    <w:rsid w:val="00FE0928"/>
    <w:rsid w:val="00FE0A70"/>
    <w:rsid w:val="00FE0F4D"/>
    <w:rsid w:val="00FE1DD5"/>
    <w:rsid w:val="00FE209C"/>
    <w:rsid w:val="00FE20DE"/>
    <w:rsid w:val="00FE22DE"/>
    <w:rsid w:val="00FE2D15"/>
    <w:rsid w:val="00FE472C"/>
    <w:rsid w:val="00FE4B17"/>
    <w:rsid w:val="00FE4BDB"/>
    <w:rsid w:val="00FE4F41"/>
    <w:rsid w:val="00FE53B4"/>
    <w:rsid w:val="00FE69D2"/>
    <w:rsid w:val="00FE76DA"/>
    <w:rsid w:val="00FF17F7"/>
    <w:rsid w:val="00FF1945"/>
    <w:rsid w:val="00FF1E96"/>
    <w:rsid w:val="00FF1FD1"/>
    <w:rsid w:val="00FF2AAC"/>
    <w:rsid w:val="00FF2EB2"/>
    <w:rsid w:val="00FF367A"/>
    <w:rsid w:val="00FF3833"/>
    <w:rsid w:val="00FF5769"/>
    <w:rsid w:val="00FF5808"/>
    <w:rsid w:val="00FF621C"/>
    <w:rsid w:val="00FF69A9"/>
    <w:rsid w:val="00FF71E8"/>
    <w:rsid w:val="00FF7299"/>
    <w:rsid w:val="00FF72BC"/>
    <w:rsid w:val="00FF74AC"/>
    <w:rsid w:val="01067679"/>
    <w:rsid w:val="018132A3"/>
    <w:rsid w:val="018F5482"/>
    <w:rsid w:val="01BD0284"/>
    <w:rsid w:val="01D38CAC"/>
    <w:rsid w:val="0266FD98"/>
    <w:rsid w:val="02A18E71"/>
    <w:rsid w:val="02BDE799"/>
    <w:rsid w:val="0305F086"/>
    <w:rsid w:val="0316F88C"/>
    <w:rsid w:val="03436A29"/>
    <w:rsid w:val="0376A1F8"/>
    <w:rsid w:val="038F5184"/>
    <w:rsid w:val="03F0184E"/>
    <w:rsid w:val="0408CDD9"/>
    <w:rsid w:val="0419E172"/>
    <w:rsid w:val="0477A7E7"/>
    <w:rsid w:val="047A356A"/>
    <w:rsid w:val="04AE42AB"/>
    <w:rsid w:val="04B5ED95"/>
    <w:rsid w:val="050CBC4E"/>
    <w:rsid w:val="0542C0DA"/>
    <w:rsid w:val="0546425C"/>
    <w:rsid w:val="0566003F"/>
    <w:rsid w:val="05AD5FA6"/>
    <w:rsid w:val="05DC2390"/>
    <w:rsid w:val="060909AB"/>
    <w:rsid w:val="062C06FA"/>
    <w:rsid w:val="063D9148"/>
    <w:rsid w:val="067B0AEB"/>
    <w:rsid w:val="068CB39B"/>
    <w:rsid w:val="06F2F3A9"/>
    <w:rsid w:val="06FBAA7D"/>
    <w:rsid w:val="0701D0A0"/>
    <w:rsid w:val="078C55F6"/>
    <w:rsid w:val="079F5735"/>
    <w:rsid w:val="07A20699"/>
    <w:rsid w:val="07D17E52"/>
    <w:rsid w:val="088E7791"/>
    <w:rsid w:val="08B01C18"/>
    <w:rsid w:val="0921FF39"/>
    <w:rsid w:val="09609D34"/>
    <w:rsid w:val="09A066E1"/>
    <w:rsid w:val="0A4D2772"/>
    <w:rsid w:val="0A7A45DC"/>
    <w:rsid w:val="0B46674A"/>
    <w:rsid w:val="0B73F1AC"/>
    <w:rsid w:val="0B868499"/>
    <w:rsid w:val="0BD20565"/>
    <w:rsid w:val="0C79C519"/>
    <w:rsid w:val="0CE19705"/>
    <w:rsid w:val="0D12FE6B"/>
    <w:rsid w:val="0D42837A"/>
    <w:rsid w:val="0D63460C"/>
    <w:rsid w:val="0DA5A31D"/>
    <w:rsid w:val="0E012D3B"/>
    <w:rsid w:val="0E494481"/>
    <w:rsid w:val="0E806CCB"/>
    <w:rsid w:val="0EECCE2A"/>
    <w:rsid w:val="0F0CFF87"/>
    <w:rsid w:val="0F8562BB"/>
    <w:rsid w:val="0FCADCB9"/>
    <w:rsid w:val="0FCB4B31"/>
    <w:rsid w:val="10D0162A"/>
    <w:rsid w:val="1132395D"/>
    <w:rsid w:val="11348A61"/>
    <w:rsid w:val="117865A1"/>
    <w:rsid w:val="11AAE391"/>
    <w:rsid w:val="12339ED1"/>
    <w:rsid w:val="1234A807"/>
    <w:rsid w:val="12BB19E5"/>
    <w:rsid w:val="12E8BCDF"/>
    <w:rsid w:val="1310E2F6"/>
    <w:rsid w:val="1311B790"/>
    <w:rsid w:val="132D1C56"/>
    <w:rsid w:val="134B4779"/>
    <w:rsid w:val="1376E435"/>
    <w:rsid w:val="1377860F"/>
    <w:rsid w:val="13A7137D"/>
    <w:rsid w:val="13AB9C6C"/>
    <w:rsid w:val="13E65388"/>
    <w:rsid w:val="13F6AD42"/>
    <w:rsid w:val="14EF8347"/>
    <w:rsid w:val="15C18D58"/>
    <w:rsid w:val="160EB856"/>
    <w:rsid w:val="16EF42A9"/>
    <w:rsid w:val="171E89DE"/>
    <w:rsid w:val="173A7A34"/>
    <w:rsid w:val="177AE4A6"/>
    <w:rsid w:val="17840021"/>
    <w:rsid w:val="17AA8A1B"/>
    <w:rsid w:val="17CEEB5D"/>
    <w:rsid w:val="1834F090"/>
    <w:rsid w:val="1893ACFD"/>
    <w:rsid w:val="18D774FC"/>
    <w:rsid w:val="18DFBF06"/>
    <w:rsid w:val="192425A5"/>
    <w:rsid w:val="19644E12"/>
    <w:rsid w:val="19660700"/>
    <w:rsid w:val="19B5A6FA"/>
    <w:rsid w:val="1A165501"/>
    <w:rsid w:val="1A33055F"/>
    <w:rsid w:val="1A393051"/>
    <w:rsid w:val="1A576778"/>
    <w:rsid w:val="1A6D9C6C"/>
    <w:rsid w:val="1A7DFF07"/>
    <w:rsid w:val="1ACBD408"/>
    <w:rsid w:val="1AF3CEC4"/>
    <w:rsid w:val="1AF454DB"/>
    <w:rsid w:val="1B060B80"/>
    <w:rsid w:val="1B1627D7"/>
    <w:rsid w:val="1B2DEF63"/>
    <w:rsid w:val="1B42CBA4"/>
    <w:rsid w:val="1B44543E"/>
    <w:rsid w:val="1B8D51D4"/>
    <w:rsid w:val="1BA76BB8"/>
    <w:rsid w:val="1BE24A12"/>
    <w:rsid w:val="1BF44F32"/>
    <w:rsid w:val="1C3A5FA7"/>
    <w:rsid w:val="1C4132AC"/>
    <w:rsid w:val="1C52C600"/>
    <w:rsid w:val="1C549A2D"/>
    <w:rsid w:val="1CB7232C"/>
    <w:rsid w:val="1CF8F08C"/>
    <w:rsid w:val="1D0675BF"/>
    <w:rsid w:val="1D1C7B0F"/>
    <w:rsid w:val="1D4EA8AF"/>
    <w:rsid w:val="1DE7A787"/>
    <w:rsid w:val="1E13B22F"/>
    <w:rsid w:val="1E4A7A22"/>
    <w:rsid w:val="1E5E9426"/>
    <w:rsid w:val="1E8A143C"/>
    <w:rsid w:val="1E96617D"/>
    <w:rsid w:val="1EEA6834"/>
    <w:rsid w:val="1EEC55DA"/>
    <w:rsid w:val="1F38C800"/>
    <w:rsid w:val="1FF1545B"/>
    <w:rsid w:val="1FF9B328"/>
    <w:rsid w:val="1FFF4113"/>
    <w:rsid w:val="20935B8C"/>
    <w:rsid w:val="2098AD88"/>
    <w:rsid w:val="20E70ED5"/>
    <w:rsid w:val="21085FFF"/>
    <w:rsid w:val="2158BC68"/>
    <w:rsid w:val="2177212F"/>
    <w:rsid w:val="21998238"/>
    <w:rsid w:val="21D21354"/>
    <w:rsid w:val="2257D9F2"/>
    <w:rsid w:val="232664B0"/>
    <w:rsid w:val="233ECFA3"/>
    <w:rsid w:val="2425C83C"/>
    <w:rsid w:val="2455AF1D"/>
    <w:rsid w:val="24A966C3"/>
    <w:rsid w:val="25462EA2"/>
    <w:rsid w:val="25B9AB17"/>
    <w:rsid w:val="25D342B3"/>
    <w:rsid w:val="25F7C975"/>
    <w:rsid w:val="261D9772"/>
    <w:rsid w:val="2636EF67"/>
    <w:rsid w:val="263B7995"/>
    <w:rsid w:val="2657EABF"/>
    <w:rsid w:val="26646BF4"/>
    <w:rsid w:val="267C95C2"/>
    <w:rsid w:val="26E16DB8"/>
    <w:rsid w:val="26E1FF03"/>
    <w:rsid w:val="26E67C5F"/>
    <w:rsid w:val="272EE27D"/>
    <w:rsid w:val="274440A1"/>
    <w:rsid w:val="279395C5"/>
    <w:rsid w:val="279D55B1"/>
    <w:rsid w:val="27AE5414"/>
    <w:rsid w:val="27E3549F"/>
    <w:rsid w:val="28023A0C"/>
    <w:rsid w:val="2818FD98"/>
    <w:rsid w:val="283D43C3"/>
    <w:rsid w:val="2860FBBE"/>
    <w:rsid w:val="2862B961"/>
    <w:rsid w:val="288EF6A0"/>
    <w:rsid w:val="28910279"/>
    <w:rsid w:val="28BFD0FB"/>
    <w:rsid w:val="28E01102"/>
    <w:rsid w:val="28EE55F4"/>
    <w:rsid w:val="29179658"/>
    <w:rsid w:val="29392612"/>
    <w:rsid w:val="29B1EA2C"/>
    <w:rsid w:val="29B84693"/>
    <w:rsid w:val="29C5A3A6"/>
    <w:rsid w:val="29DBFDE9"/>
    <w:rsid w:val="29E22507"/>
    <w:rsid w:val="2A14CCBB"/>
    <w:rsid w:val="2A8EC7DA"/>
    <w:rsid w:val="2A9C5544"/>
    <w:rsid w:val="2AAAFDA3"/>
    <w:rsid w:val="2AD8DC57"/>
    <w:rsid w:val="2AE92C4C"/>
    <w:rsid w:val="2B3A7ECB"/>
    <w:rsid w:val="2B3A9E29"/>
    <w:rsid w:val="2B42172B"/>
    <w:rsid w:val="2BFFE3A5"/>
    <w:rsid w:val="2C42B95C"/>
    <w:rsid w:val="2C74ACB8"/>
    <w:rsid w:val="2C8CD8F6"/>
    <w:rsid w:val="2CBCC93E"/>
    <w:rsid w:val="2D80C195"/>
    <w:rsid w:val="2D95131E"/>
    <w:rsid w:val="2DCB06AF"/>
    <w:rsid w:val="2DD05FF7"/>
    <w:rsid w:val="2DFD1FAD"/>
    <w:rsid w:val="2E0C9735"/>
    <w:rsid w:val="2E1DA036"/>
    <w:rsid w:val="2E6858A1"/>
    <w:rsid w:val="2E688B72"/>
    <w:rsid w:val="2E7DF42E"/>
    <w:rsid w:val="2EA4EBD4"/>
    <w:rsid w:val="2EC79222"/>
    <w:rsid w:val="2EED0040"/>
    <w:rsid w:val="2F3FD957"/>
    <w:rsid w:val="2FAA58E6"/>
    <w:rsid w:val="2FBB68D5"/>
    <w:rsid w:val="30108851"/>
    <w:rsid w:val="30CEA186"/>
    <w:rsid w:val="30E0BC5C"/>
    <w:rsid w:val="30EA2BC9"/>
    <w:rsid w:val="3115A6DE"/>
    <w:rsid w:val="3130C779"/>
    <w:rsid w:val="314D48DA"/>
    <w:rsid w:val="31DFEC91"/>
    <w:rsid w:val="326C3C66"/>
    <w:rsid w:val="32B65942"/>
    <w:rsid w:val="32BDF7D7"/>
    <w:rsid w:val="32E24050"/>
    <w:rsid w:val="331A6CDB"/>
    <w:rsid w:val="3354258C"/>
    <w:rsid w:val="3360B9F8"/>
    <w:rsid w:val="33A0C6C8"/>
    <w:rsid w:val="343CC0E7"/>
    <w:rsid w:val="34B78AA1"/>
    <w:rsid w:val="34D25BB4"/>
    <w:rsid w:val="34EDA39F"/>
    <w:rsid w:val="3514A38E"/>
    <w:rsid w:val="35303CFB"/>
    <w:rsid w:val="35376B6C"/>
    <w:rsid w:val="353DA000"/>
    <w:rsid w:val="3562805C"/>
    <w:rsid w:val="3580CBEB"/>
    <w:rsid w:val="359EC4C3"/>
    <w:rsid w:val="35AD8C04"/>
    <w:rsid w:val="35D7BC67"/>
    <w:rsid w:val="35EA4685"/>
    <w:rsid w:val="35EC0C5E"/>
    <w:rsid w:val="363FFDE5"/>
    <w:rsid w:val="366AC229"/>
    <w:rsid w:val="36B00FCE"/>
    <w:rsid w:val="36DFBA58"/>
    <w:rsid w:val="37028268"/>
    <w:rsid w:val="371C9C4C"/>
    <w:rsid w:val="37B58FEF"/>
    <w:rsid w:val="37C76C41"/>
    <w:rsid w:val="37E59669"/>
    <w:rsid w:val="37ECE1DF"/>
    <w:rsid w:val="37F80BC3"/>
    <w:rsid w:val="37FF18D5"/>
    <w:rsid w:val="380CBAAA"/>
    <w:rsid w:val="384E31F6"/>
    <w:rsid w:val="384E43BE"/>
    <w:rsid w:val="38506147"/>
    <w:rsid w:val="3870BDCF"/>
    <w:rsid w:val="3882C2EF"/>
    <w:rsid w:val="388E737C"/>
    <w:rsid w:val="38B86CAD"/>
    <w:rsid w:val="38C22B92"/>
    <w:rsid w:val="38E7D2A7"/>
    <w:rsid w:val="390E4464"/>
    <w:rsid w:val="39119D68"/>
    <w:rsid w:val="394922BE"/>
    <w:rsid w:val="39730B20"/>
    <w:rsid w:val="398166CA"/>
    <w:rsid w:val="3989F606"/>
    <w:rsid w:val="39A62FC0"/>
    <w:rsid w:val="3A1C9B12"/>
    <w:rsid w:val="3A1F6210"/>
    <w:rsid w:val="3A5EE08D"/>
    <w:rsid w:val="3A80FD27"/>
    <w:rsid w:val="3A866494"/>
    <w:rsid w:val="3A8A5EC5"/>
    <w:rsid w:val="3AEB3BEF"/>
    <w:rsid w:val="3B3CFE0E"/>
    <w:rsid w:val="3B85C820"/>
    <w:rsid w:val="3BBED675"/>
    <w:rsid w:val="3C0B4351"/>
    <w:rsid w:val="3C74FA77"/>
    <w:rsid w:val="3C7F6340"/>
    <w:rsid w:val="3C91CC81"/>
    <w:rsid w:val="3CDDD082"/>
    <w:rsid w:val="3CE226A0"/>
    <w:rsid w:val="3CFE3E1D"/>
    <w:rsid w:val="3D159DD9"/>
    <w:rsid w:val="3D16723B"/>
    <w:rsid w:val="3D4CA022"/>
    <w:rsid w:val="3DEC31C8"/>
    <w:rsid w:val="3DF49700"/>
    <w:rsid w:val="3E383548"/>
    <w:rsid w:val="3E5C2363"/>
    <w:rsid w:val="3E67E2D8"/>
    <w:rsid w:val="3E6A5E7E"/>
    <w:rsid w:val="3E6E004A"/>
    <w:rsid w:val="3E7AD2A6"/>
    <w:rsid w:val="3EEF5884"/>
    <w:rsid w:val="3EFD066A"/>
    <w:rsid w:val="3F5F8926"/>
    <w:rsid w:val="3F7E2956"/>
    <w:rsid w:val="3FA93E4F"/>
    <w:rsid w:val="4029C13B"/>
    <w:rsid w:val="407EB979"/>
    <w:rsid w:val="40AB62F7"/>
    <w:rsid w:val="40D77B1A"/>
    <w:rsid w:val="40F03EAB"/>
    <w:rsid w:val="41250FC8"/>
    <w:rsid w:val="412864BB"/>
    <w:rsid w:val="4180C2E6"/>
    <w:rsid w:val="42803BA2"/>
    <w:rsid w:val="4290B7C3"/>
    <w:rsid w:val="42920DF1"/>
    <w:rsid w:val="429CEFD4"/>
    <w:rsid w:val="42BEC1BD"/>
    <w:rsid w:val="42C5D14C"/>
    <w:rsid w:val="42D46A92"/>
    <w:rsid w:val="42DB8335"/>
    <w:rsid w:val="43055890"/>
    <w:rsid w:val="434BF941"/>
    <w:rsid w:val="43BB5DFC"/>
    <w:rsid w:val="43C659F8"/>
    <w:rsid w:val="43EA0215"/>
    <w:rsid w:val="44115259"/>
    <w:rsid w:val="4413692C"/>
    <w:rsid w:val="442DDD55"/>
    <w:rsid w:val="4448AE68"/>
    <w:rsid w:val="44703AF3"/>
    <w:rsid w:val="44BB6058"/>
    <w:rsid w:val="44CC06F7"/>
    <w:rsid w:val="44E7C9A2"/>
    <w:rsid w:val="450D9456"/>
    <w:rsid w:val="4522A7FC"/>
    <w:rsid w:val="45920CB7"/>
    <w:rsid w:val="45F1FFF1"/>
    <w:rsid w:val="45F71C6F"/>
    <w:rsid w:val="45F914AD"/>
    <w:rsid w:val="468EEB25"/>
    <w:rsid w:val="46E389DA"/>
    <w:rsid w:val="471D565F"/>
    <w:rsid w:val="472F7135"/>
    <w:rsid w:val="479DE73A"/>
    <w:rsid w:val="48039CC7"/>
    <w:rsid w:val="483754DD"/>
    <w:rsid w:val="484A5870"/>
    <w:rsid w:val="48EF7D26"/>
    <w:rsid w:val="4914461C"/>
    <w:rsid w:val="4941BE70"/>
    <w:rsid w:val="49B5090F"/>
    <w:rsid w:val="49B6746D"/>
    <w:rsid w:val="49BB1C43"/>
    <w:rsid w:val="49FCFDCC"/>
    <w:rsid w:val="4A5A2220"/>
    <w:rsid w:val="4A740D14"/>
    <w:rsid w:val="4AA6097B"/>
    <w:rsid w:val="4AF3CCF4"/>
    <w:rsid w:val="4B04F215"/>
    <w:rsid w:val="4B0E7CCF"/>
    <w:rsid w:val="4B6428C5"/>
    <w:rsid w:val="4B71BB87"/>
    <w:rsid w:val="4B9CC0CB"/>
    <w:rsid w:val="4B9F0A93"/>
    <w:rsid w:val="4BA98D93"/>
    <w:rsid w:val="4BB94CC4"/>
    <w:rsid w:val="4BEED9DC"/>
    <w:rsid w:val="4C1533DC"/>
    <w:rsid w:val="4CFEC4A7"/>
    <w:rsid w:val="4CFFCC2D"/>
    <w:rsid w:val="4D3F5884"/>
    <w:rsid w:val="4D448E06"/>
    <w:rsid w:val="4D5324E7"/>
    <w:rsid w:val="4DD99DE6"/>
    <w:rsid w:val="4E788051"/>
    <w:rsid w:val="4EBF72A8"/>
    <w:rsid w:val="4EC16AE6"/>
    <w:rsid w:val="4EDD0389"/>
    <w:rsid w:val="4F159271"/>
    <w:rsid w:val="4F1B66E5"/>
    <w:rsid w:val="4F3F2697"/>
    <w:rsid w:val="4F86C3FE"/>
    <w:rsid w:val="4FA63644"/>
    <w:rsid w:val="4FFDD8D6"/>
    <w:rsid w:val="5016C2CF"/>
    <w:rsid w:val="505D3B47"/>
    <w:rsid w:val="5080B8A7"/>
    <w:rsid w:val="5147B074"/>
    <w:rsid w:val="5162D0DE"/>
    <w:rsid w:val="517149D4"/>
    <w:rsid w:val="517D4B78"/>
    <w:rsid w:val="51817CF9"/>
    <w:rsid w:val="5188A036"/>
    <w:rsid w:val="5233EB08"/>
    <w:rsid w:val="5244C788"/>
    <w:rsid w:val="52C587FD"/>
    <w:rsid w:val="53299B96"/>
    <w:rsid w:val="5346B46F"/>
    <w:rsid w:val="53EED808"/>
    <w:rsid w:val="5421A330"/>
    <w:rsid w:val="546051A0"/>
    <w:rsid w:val="5495E74B"/>
    <w:rsid w:val="54B0D27F"/>
    <w:rsid w:val="550CCA63"/>
    <w:rsid w:val="553EC10E"/>
    <w:rsid w:val="5541B56B"/>
    <w:rsid w:val="555FE465"/>
    <w:rsid w:val="556436AC"/>
    <w:rsid w:val="558ACFA7"/>
    <w:rsid w:val="559427DA"/>
    <w:rsid w:val="55B01E07"/>
    <w:rsid w:val="55CFA280"/>
    <w:rsid w:val="560AF2F0"/>
    <w:rsid w:val="562913F7"/>
    <w:rsid w:val="56530076"/>
    <w:rsid w:val="5656771B"/>
    <w:rsid w:val="5685B7C7"/>
    <w:rsid w:val="56959A80"/>
    <w:rsid w:val="56A80E41"/>
    <w:rsid w:val="571703E6"/>
    <w:rsid w:val="57424C88"/>
    <w:rsid w:val="5786FF2C"/>
    <w:rsid w:val="58C75F3B"/>
    <w:rsid w:val="58F11313"/>
    <w:rsid w:val="59993A0C"/>
    <w:rsid w:val="59AE1E98"/>
    <w:rsid w:val="59B016D6"/>
    <w:rsid w:val="59F7E65F"/>
    <w:rsid w:val="59F909D4"/>
    <w:rsid w:val="5A6011CA"/>
    <w:rsid w:val="5AAD11EA"/>
    <w:rsid w:val="5AE5F7EC"/>
    <w:rsid w:val="5B0A54DF"/>
    <w:rsid w:val="5B2706B0"/>
    <w:rsid w:val="5B78E03E"/>
    <w:rsid w:val="5B958E53"/>
    <w:rsid w:val="5B9B7A4E"/>
    <w:rsid w:val="5BE3884D"/>
    <w:rsid w:val="5C2253E8"/>
    <w:rsid w:val="5C2F8D12"/>
    <w:rsid w:val="5C620AA8"/>
    <w:rsid w:val="5C644AE7"/>
    <w:rsid w:val="5CF9B220"/>
    <w:rsid w:val="5D34B7B8"/>
    <w:rsid w:val="5D7C601B"/>
    <w:rsid w:val="5D9AC762"/>
    <w:rsid w:val="5DD2864E"/>
    <w:rsid w:val="5DD3826D"/>
    <w:rsid w:val="5DF316A9"/>
    <w:rsid w:val="5E6F975F"/>
    <w:rsid w:val="5EF6D298"/>
    <w:rsid w:val="5EFC5C43"/>
    <w:rsid w:val="5F02415B"/>
    <w:rsid w:val="5F42B9F3"/>
    <w:rsid w:val="5F63A79D"/>
    <w:rsid w:val="5F7F6A48"/>
    <w:rsid w:val="60D044D5"/>
    <w:rsid w:val="60EAA54D"/>
    <w:rsid w:val="61237CAD"/>
    <w:rsid w:val="61570A8A"/>
    <w:rsid w:val="61690FAA"/>
    <w:rsid w:val="61E18FE0"/>
    <w:rsid w:val="622A8D76"/>
    <w:rsid w:val="627A5AB5"/>
    <w:rsid w:val="62994DC0"/>
    <w:rsid w:val="62AF73BD"/>
    <w:rsid w:val="62B470BC"/>
    <w:rsid w:val="62C1600D"/>
    <w:rsid w:val="63027C71"/>
    <w:rsid w:val="630E0D61"/>
    <w:rsid w:val="634BE563"/>
    <w:rsid w:val="639CC2F6"/>
    <w:rsid w:val="64995EB0"/>
    <w:rsid w:val="64AB54E6"/>
    <w:rsid w:val="64C43864"/>
    <w:rsid w:val="64C6260A"/>
    <w:rsid w:val="64D3DD74"/>
    <w:rsid w:val="64E0B9C5"/>
    <w:rsid w:val="65AEAD91"/>
    <w:rsid w:val="66030DD1"/>
    <w:rsid w:val="661F728C"/>
    <w:rsid w:val="66472547"/>
    <w:rsid w:val="66867A82"/>
    <w:rsid w:val="66ADDDC6"/>
    <w:rsid w:val="66DB2269"/>
    <w:rsid w:val="66E0544F"/>
    <w:rsid w:val="66E959D9"/>
    <w:rsid w:val="66EB7FA2"/>
    <w:rsid w:val="676F5B92"/>
    <w:rsid w:val="677DF183"/>
    <w:rsid w:val="67D1E995"/>
    <w:rsid w:val="67E2F5A8"/>
    <w:rsid w:val="67F1C18C"/>
    <w:rsid w:val="67F45596"/>
    <w:rsid w:val="689CB8BF"/>
    <w:rsid w:val="68EE7630"/>
    <w:rsid w:val="69376D84"/>
    <w:rsid w:val="695ED62C"/>
    <w:rsid w:val="6A28B8F8"/>
    <w:rsid w:val="6A29465F"/>
    <w:rsid w:val="6A41AE32"/>
    <w:rsid w:val="6AABA4A0"/>
    <w:rsid w:val="6AB70936"/>
    <w:rsid w:val="6AB9FD93"/>
    <w:rsid w:val="6AD057D6"/>
    <w:rsid w:val="6B663A1F"/>
    <w:rsid w:val="6B69F887"/>
    <w:rsid w:val="6B6F3F31"/>
    <w:rsid w:val="6BB99662"/>
    <w:rsid w:val="6BC287C0"/>
    <w:rsid w:val="6C55CDF4"/>
    <w:rsid w:val="6C650F53"/>
    <w:rsid w:val="6C7B4392"/>
    <w:rsid w:val="6CB71373"/>
    <w:rsid w:val="6CD03BD0"/>
    <w:rsid w:val="6D5D28A3"/>
    <w:rsid w:val="6D70803D"/>
    <w:rsid w:val="6DBF1039"/>
    <w:rsid w:val="6DD9DD75"/>
    <w:rsid w:val="6DE6BCF8"/>
    <w:rsid w:val="6DE8D43A"/>
    <w:rsid w:val="6E29087F"/>
    <w:rsid w:val="6E2FBFEC"/>
    <w:rsid w:val="6E346D04"/>
    <w:rsid w:val="6E390ECF"/>
    <w:rsid w:val="6F120F36"/>
    <w:rsid w:val="6F3E6FCA"/>
    <w:rsid w:val="6F79CB67"/>
    <w:rsid w:val="6F8ADCF2"/>
    <w:rsid w:val="6F8E603D"/>
    <w:rsid w:val="6F913DF8"/>
    <w:rsid w:val="6FDA4798"/>
    <w:rsid w:val="706435AA"/>
    <w:rsid w:val="71120460"/>
    <w:rsid w:val="71650460"/>
    <w:rsid w:val="719A9C10"/>
    <w:rsid w:val="71C8B0C5"/>
    <w:rsid w:val="721495A4"/>
    <w:rsid w:val="721B09CC"/>
    <w:rsid w:val="72242547"/>
    <w:rsid w:val="72489EC6"/>
    <w:rsid w:val="726E1464"/>
    <w:rsid w:val="72B9FBBF"/>
    <w:rsid w:val="72E05EBA"/>
    <w:rsid w:val="72FB8E17"/>
    <w:rsid w:val="7300D4C1"/>
    <w:rsid w:val="732654F7"/>
    <w:rsid w:val="732C7C15"/>
    <w:rsid w:val="73350C31"/>
    <w:rsid w:val="73E758EC"/>
    <w:rsid w:val="744D3C8A"/>
    <w:rsid w:val="7490AA7A"/>
    <w:rsid w:val="7490DD43"/>
    <w:rsid w:val="74EA01AA"/>
    <w:rsid w:val="751B2FD0"/>
    <w:rsid w:val="754CA941"/>
    <w:rsid w:val="75989209"/>
    <w:rsid w:val="75E99B42"/>
    <w:rsid w:val="75F0E763"/>
    <w:rsid w:val="761E360A"/>
    <w:rsid w:val="762621E7"/>
    <w:rsid w:val="76B70031"/>
    <w:rsid w:val="76B9F48E"/>
    <w:rsid w:val="77034546"/>
    <w:rsid w:val="770A7C77"/>
    <w:rsid w:val="772B0E28"/>
    <w:rsid w:val="77C33DDE"/>
    <w:rsid w:val="77C414A4"/>
    <w:rsid w:val="7803ABDE"/>
    <w:rsid w:val="780A72AB"/>
    <w:rsid w:val="78405C33"/>
    <w:rsid w:val="787C5352"/>
    <w:rsid w:val="78957BAF"/>
    <w:rsid w:val="78E03FAD"/>
    <w:rsid w:val="78E0A72F"/>
    <w:rsid w:val="792D0878"/>
    <w:rsid w:val="793ED414"/>
    <w:rsid w:val="796475AC"/>
    <w:rsid w:val="796D1A70"/>
    <w:rsid w:val="7974ECA2"/>
    <w:rsid w:val="7A1470A0"/>
    <w:rsid w:val="7A15DDC4"/>
    <w:rsid w:val="7A1FE8C6"/>
    <w:rsid w:val="7B82E1EF"/>
    <w:rsid w:val="7B883DC2"/>
    <w:rsid w:val="7BB0749D"/>
    <w:rsid w:val="7C649EDA"/>
    <w:rsid w:val="7C64C3E9"/>
    <w:rsid w:val="7CA33CB2"/>
    <w:rsid w:val="7CCD8730"/>
    <w:rsid w:val="7CD2FDD2"/>
    <w:rsid w:val="7CE7DC00"/>
    <w:rsid w:val="7D3942F4"/>
    <w:rsid w:val="7D90A2AF"/>
    <w:rsid w:val="7D9A930B"/>
    <w:rsid w:val="7DFF982B"/>
    <w:rsid w:val="7E397A66"/>
    <w:rsid w:val="7E3A7685"/>
    <w:rsid w:val="7E60E842"/>
    <w:rsid w:val="7E70FFBC"/>
    <w:rsid w:val="7E9380FD"/>
    <w:rsid w:val="7E9F1768"/>
    <w:rsid w:val="7EC2A581"/>
    <w:rsid w:val="7EE7E1C3"/>
    <w:rsid w:val="7F1AD477"/>
    <w:rsid w:val="7F1D570E"/>
    <w:rsid w:val="7F3365E1"/>
    <w:rsid w:val="7F5CC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01A"/>
  <w15:chartTrackingRefBased/>
  <w15:docId w15:val="{6CB7AC63-E567-4E79-821C-B6B78491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AC"/>
    <w:pPr>
      <w:spacing w:line="240" w:lineRule="auto"/>
    </w:pPr>
    <w:rPr>
      <w:lang w:bidi="en-US"/>
    </w:rPr>
  </w:style>
  <w:style w:type="paragraph" w:styleId="Heading1">
    <w:name w:val="heading 1"/>
    <w:basedOn w:val="body"/>
    <w:next w:val="Normal"/>
    <w:link w:val="Heading1Char"/>
    <w:uiPriority w:val="9"/>
    <w:qFormat/>
    <w:rsid w:val="00582A7E"/>
    <w:pPr>
      <w:keepNext/>
      <w:numPr>
        <w:numId w:val="2"/>
      </w:numPr>
      <w:spacing w:line="240" w:lineRule="auto"/>
      <w:ind w:left="720"/>
      <w:outlineLvl w:val="0"/>
    </w:pPr>
    <w:rPr>
      <w:rFonts w:ascii="Times New Roman" w:hAnsi="Times New Roman" w:cs="Times New Roman"/>
      <w:b/>
      <w:color w:val="000000" w:themeColor="text1"/>
      <w:sz w:val="22"/>
      <w:szCs w:val="22"/>
      <w:u w:val="single"/>
      <w:lang w:bidi="ar-SA"/>
    </w:rPr>
  </w:style>
  <w:style w:type="paragraph" w:styleId="Heading2">
    <w:name w:val="heading 2"/>
    <w:basedOn w:val="Normal"/>
    <w:next w:val="Normal"/>
    <w:link w:val="Heading2Char"/>
    <w:uiPriority w:val="9"/>
    <w:unhideWhenUsed/>
    <w:qFormat/>
    <w:rsid w:val="00AB6385"/>
    <w:pPr>
      <w:keepNext/>
      <w:numPr>
        <w:numId w:val="5"/>
      </w:numPr>
      <w:outlineLvl w:val="1"/>
    </w:pPr>
    <w:rPr>
      <w:b/>
      <w:bCs/>
      <w:i/>
      <w:iCs/>
    </w:rPr>
  </w:style>
  <w:style w:type="paragraph" w:styleId="Heading3">
    <w:name w:val="heading 3"/>
    <w:basedOn w:val="Normal"/>
    <w:next w:val="Normal"/>
    <w:link w:val="Heading3Char"/>
    <w:uiPriority w:val="9"/>
    <w:semiHidden/>
    <w:unhideWhenUsed/>
    <w:qFormat/>
    <w:rsid w:val="002C6891"/>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2C689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2C689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2C689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2C689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2C689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2C689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A7E"/>
    <w:rPr>
      <w:rFonts w:ascii="Times New Roman" w:eastAsia="Roboto" w:hAnsi="Times New Roman" w:cs="Times New Roman"/>
      <w:b/>
      <w:color w:val="000000" w:themeColor="text1"/>
      <w:u w:val="single"/>
    </w:rPr>
  </w:style>
  <w:style w:type="character" w:customStyle="1" w:styleId="Heading2Char">
    <w:name w:val="Heading 2 Char"/>
    <w:basedOn w:val="DefaultParagraphFont"/>
    <w:link w:val="Heading2"/>
    <w:uiPriority w:val="9"/>
    <w:rsid w:val="00AB6385"/>
    <w:rPr>
      <w:b/>
      <w:bCs/>
      <w:i/>
      <w:iCs/>
      <w:lang w:bidi="en-US"/>
    </w:rPr>
  </w:style>
  <w:style w:type="character" w:customStyle="1" w:styleId="Heading3Char">
    <w:name w:val="Heading 3 Char"/>
    <w:basedOn w:val="DefaultParagraphFont"/>
    <w:link w:val="Heading3"/>
    <w:uiPriority w:val="9"/>
    <w:semiHidden/>
    <w:rsid w:val="002C6891"/>
    <w:rPr>
      <w:i/>
      <w:iCs/>
      <w:smallCaps/>
      <w:spacing w:val="5"/>
      <w:sz w:val="26"/>
      <w:szCs w:val="26"/>
    </w:rPr>
  </w:style>
  <w:style w:type="character" w:customStyle="1" w:styleId="Heading4Char">
    <w:name w:val="Heading 4 Char"/>
    <w:basedOn w:val="DefaultParagraphFont"/>
    <w:link w:val="Heading4"/>
    <w:uiPriority w:val="9"/>
    <w:semiHidden/>
    <w:rsid w:val="002C6891"/>
    <w:rPr>
      <w:b/>
      <w:bCs/>
      <w:spacing w:val="5"/>
      <w:sz w:val="24"/>
      <w:szCs w:val="24"/>
    </w:rPr>
  </w:style>
  <w:style w:type="character" w:customStyle="1" w:styleId="Heading5Char">
    <w:name w:val="Heading 5 Char"/>
    <w:basedOn w:val="DefaultParagraphFont"/>
    <w:link w:val="Heading5"/>
    <w:uiPriority w:val="9"/>
    <w:semiHidden/>
    <w:rsid w:val="002C6891"/>
    <w:rPr>
      <w:i/>
      <w:iCs/>
      <w:sz w:val="24"/>
      <w:szCs w:val="24"/>
    </w:rPr>
  </w:style>
  <w:style w:type="character" w:customStyle="1" w:styleId="Heading6Char">
    <w:name w:val="Heading 6 Char"/>
    <w:basedOn w:val="DefaultParagraphFont"/>
    <w:link w:val="Heading6"/>
    <w:uiPriority w:val="9"/>
    <w:semiHidden/>
    <w:rsid w:val="002C689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2C689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2C6891"/>
    <w:rPr>
      <w:b/>
      <w:bCs/>
      <w:color w:val="7F7F7F" w:themeColor="text1" w:themeTint="80"/>
      <w:sz w:val="20"/>
      <w:szCs w:val="20"/>
    </w:rPr>
  </w:style>
  <w:style w:type="character" w:customStyle="1" w:styleId="Heading9Char">
    <w:name w:val="Heading 9 Char"/>
    <w:basedOn w:val="DefaultParagraphFont"/>
    <w:link w:val="Heading9"/>
    <w:uiPriority w:val="9"/>
    <w:semiHidden/>
    <w:rsid w:val="002C6891"/>
    <w:rPr>
      <w:b/>
      <w:bCs/>
      <w:i/>
      <w:iCs/>
      <w:color w:val="7F7F7F" w:themeColor="text1" w:themeTint="80"/>
      <w:sz w:val="18"/>
      <w:szCs w:val="18"/>
    </w:rPr>
  </w:style>
  <w:style w:type="paragraph" w:styleId="Title">
    <w:name w:val="Title"/>
    <w:basedOn w:val="Normal"/>
    <w:next w:val="Normal"/>
    <w:link w:val="TitleChar"/>
    <w:uiPriority w:val="10"/>
    <w:qFormat/>
    <w:rsid w:val="002C6891"/>
    <w:pPr>
      <w:spacing w:after="300"/>
      <w:contextualSpacing/>
    </w:pPr>
    <w:rPr>
      <w:smallCaps/>
      <w:sz w:val="52"/>
      <w:szCs w:val="52"/>
    </w:rPr>
  </w:style>
  <w:style w:type="character" w:customStyle="1" w:styleId="TitleChar">
    <w:name w:val="Title Char"/>
    <w:basedOn w:val="DefaultParagraphFont"/>
    <w:link w:val="Title"/>
    <w:uiPriority w:val="10"/>
    <w:rsid w:val="002C6891"/>
    <w:rPr>
      <w:smallCaps/>
      <w:sz w:val="52"/>
      <w:szCs w:val="52"/>
    </w:rPr>
  </w:style>
  <w:style w:type="paragraph" w:styleId="Subtitle">
    <w:name w:val="Subtitle"/>
    <w:basedOn w:val="Normal"/>
    <w:next w:val="Normal"/>
    <w:link w:val="SubtitleChar"/>
    <w:uiPriority w:val="11"/>
    <w:qFormat/>
    <w:rsid w:val="002C6891"/>
    <w:rPr>
      <w:i/>
      <w:iCs/>
      <w:smallCaps/>
      <w:spacing w:val="10"/>
      <w:sz w:val="28"/>
      <w:szCs w:val="28"/>
    </w:rPr>
  </w:style>
  <w:style w:type="character" w:customStyle="1" w:styleId="SubtitleChar">
    <w:name w:val="Subtitle Char"/>
    <w:basedOn w:val="DefaultParagraphFont"/>
    <w:link w:val="Subtitle"/>
    <w:uiPriority w:val="11"/>
    <w:rsid w:val="002C6891"/>
    <w:rPr>
      <w:i/>
      <w:iCs/>
      <w:smallCaps/>
      <w:spacing w:val="10"/>
      <w:sz w:val="28"/>
      <w:szCs w:val="28"/>
    </w:rPr>
  </w:style>
  <w:style w:type="character" w:styleId="Strong">
    <w:name w:val="Strong"/>
    <w:uiPriority w:val="22"/>
    <w:qFormat/>
    <w:rsid w:val="002C6891"/>
    <w:rPr>
      <w:b/>
      <w:bCs/>
    </w:rPr>
  </w:style>
  <w:style w:type="character" w:styleId="Emphasis">
    <w:name w:val="Emphasis"/>
    <w:uiPriority w:val="20"/>
    <w:qFormat/>
    <w:rsid w:val="002C6891"/>
    <w:rPr>
      <w:b/>
      <w:bCs/>
      <w:i/>
      <w:iCs/>
      <w:spacing w:val="10"/>
    </w:rPr>
  </w:style>
  <w:style w:type="paragraph" w:styleId="NoSpacing">
    <w:name w:val="No Spacing"/>
    <w:basedOn w:val="Normal"/>
    <w:uiPriority w:val="1"/>
    <w:qFormat/>
    <w:rsid w:val="002C6891"/>
    <w:pPr>
      <w:spacing w:after="0"/>
    </w:pPr>
  </w:style>
  <w:style w:type="paragraph" w:styleId="ListParagraph">
    <w:name w:val="List Paragraph"/>
    <w:basedOn w:val="Normal"/>
    <w:uiPriority w:val="34"/>
    <w:qFormat/>
    <w:rsid w:val="002C6891"/>
    <w:pPr>
      <w:ind w:left="720"/>
      <w:contextualSpacing/>
    </w:pPr>
  </w:style>
  <w:style w:type="paragraph" w:styleId="Quote">
    <w:name w:val="Quote"/>
    <w:basedOn w:val="Normal"/>
    <w:next w:val="Normal"/>
    <w:link w:val="QuoteChar"/>
    <w:uiPriority w:val="29"/>
    <w:qFormat/>
    <w:rsid w:val="00483C95"/>
    <w:pPr>
      <w:ind w:left="720" w:right="720"/>
    </w:pPr>
    <w:rPr>
      <w:i/>
    </w:rPr>
  </w:style>
  <w:style w:type="character" w:customStyle="1" w:styleId="QuoteChar">
    <w:name w:val="Quote Char"/>
    <w:basedOn w:val="DefaultParagraphFont"/>
    <w:link w:val="Quote"/>
    <w:uiPriority w:val="29"/>
    <w:rsid w:val="00483C95"/>
    <w:rPr>
      <w:i/>
    </w:rPr>
  </w:style>
  <w:style w:type="paragraph" w:styleId="IntenseQuote">
    <w:name w:val="Intense Quote"/>
    <w:basedOn w:val="Normal"/>
    <w:next w:val="Normal"/>
    <w:link w:val="IntenseQuoteChar"/>
    <w:uiPriority w:val="30"/>
    <w:qFormat/>
    <w:rsid w:val="002C689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2C6891"/>
    <w:rPr>
      <w:i/>
      <w:iCs/>
    </w:rPr>
  </w:style>
  <w:style w:type="character" w:styleId="SubtleEmphasis">
    <w:name w:val="Subtle Emphasis"/>
    <w:uiPriority w:val="19"/>
    <w:qFormat/>
    <w:rsid w:val="002C6891"/>
    <w:rPr>
      <w:i/>
      <w:iCs/>
    </w:rPr>
  </w:style>
  <w:style w:type="character" w:styleId="IntenseEmphasis">
    <w:name w:val="Intense Emphasis"/>
    <w:uiPriority w:val="21"/>
    <w:qFormat/>
    <w:rsid w:val="002C6891"/>
    <w:rPr>
      <w:b/>
      <w:bCs/>
      <w:i/>
      <w:iCs/>
    </w:rPr>
  </w:style>
  <w:style w:type="character" w:styleId="SubtleReference">
    <w:name w:val="Subtle Reference"/>
    <w:basedOn w:val="DefaultParagraphFont"/>
    <w:uiPriority w:val="31"/>
    <w:qFormat/>
    <w:rsid w:val="002C6891"/>
    <w:rPr>
      <w:smallCaps/>
    </w:rPr>
  </w:style>
  <w:style w:type="character" w:styleId="IntenseReference">
    <w:name w:val="Intense Reference"/>
    <w:uiPriority w:val="32"/>
    <w:qFormat/>
    <w:rsid w:val="002C6891"/>
    <w:rPr>
      <w:b/>
      <w:bCs/>
      <w:smallCaps/>
    </w:rPr>
  </w:style>
  <w:style w:type="character" w:styleId="BookTitle">
    <w:name w:val="Book Title"/>
    <w:basedOn w:val="DefaultParagraphFont"/>
    <w:uiPriority w:val="33"/>
    <w:qFormat/>
    <w:rsid w:val="002C6891"/>
    <w:rPr>
      <w:i/>
      <w:iCs/>
      <w:smallCaps/>
      <w:spacing w:val="5"/>
    </w:rPr>
  </w:style>
  <w:style w:type="paragraph" w:styleId="TOCHeading">
    <w:name w:val="TOC Heading"/>
    <w:basedOn w:val="Heading1"/>
    <w:next w:val="Normal"/>
    <w:uiPriority w:val="39"/>
    <w:semiHidden/>
    <w:unhideWhenUsed/>
    <w:qFormat/>
    <w:rsid w:val="002C6891"/>
    <w:pPr>
      <w:outlineLvl w:val="9"/>
    </w:pPr>
  </w:style>
  <w:style w:type="paragraph" w:styleId="FootnoteText">
    <w:name w:val="footnote text"/>
    <w:basedOn w:val="Normal"/>
    <w:link w:val="FootnoteTextChar"/>
    <w:uiPriority w:val="99"/>
    <w:unhideWhenUsed/>
    <w:qFormat/>
    <w:rsid w:val="008C36EB"/>
    <w:pPr>
      <w:spacing w:after="0"/>
    </w:pPr>
    <w:rPr>
      <w:sz w:val="20"/>
      <w:szCs w:val="20"/>
    </w:rPr>
  </w:style>
  <w:style w:type="character" w:customStyle="1" w:styleId="FootnoteTextChar">
    <w:name w:val="Footnote Text Char"/>
    <w:basedOn w:val="DefaultParagraphFont"/>
    <w:link w:val="FootnoteText"/>
    <w:uiPriority w:val="99"/>
    <w:qFormat/>
    <w:rsid w:val="008C36EB"/>
    <w:rPr>
      <w:sz w:val="20"/>
      <w:szCs w:val="20"/>
    </w:rPr>
  </w:style>
  <w:style w:type="character" w:styleId="FootnoteReference">
    <w:name w:val="footnote reference"/>
    <w:basedOn w:val="DefaultParagraphFont"/>
    <w:uiPriority w:val="99"/>
    <w:unhideWhenUsed/>
    <w:qFormat/>
    <w:rsid w:val="008C36EB"/>
    <w:rPr>
      <w:vertAlign w:val="superscript"/>
    </w:rPr>
  </w:style>
  <w:style w:type="character" w:styleId="Hyperlink">
    <w:name w:val="Hyperlink"/>
    <w:basedOn w:val="DefaultParagraphFont"/>
    <w:uiPriority w:val="99"/>
    <w:unhideWhenUsed/>
    <w:rsid w:val="008C36EB"/>
    <w:rPr>
      <w:color w:val="0563C1" w:themeColor="hyperlink"/>
      <w:u w:val="single"/>
    </w:rPr>
  </w:style>
  <w:style w:type="paragraph" w:styleId="Header">
    <w:name w:val="header"/>
    <w:basedOn w:val="Normal"/>
    <w:link w:val="HeaderChar"/>
    <w:uiPriority w:val="99"/>
    <w:unhideWhenUsed/>
    <w:rsid w:val="004249B6"/>
    <w:pPr>
      <w:tabs>
        <w:tab w:val="center" w:pos="4680"/>
        <w:tab w:val="right" w:pos="9360"/>
      </w:tabs>
      <w:spacing w:after="0"/>
    </w:pPr>
  </w:style>
  <w:style w:type="character" w:customStyle="1" w:styleId="HeaderChar">
    <w:name w:val="Header Char"/>
    <w:basedOn w:val="DefaultParagraphFont"/>
    <w:link w:val="Header"/>
    <w:uiPriority w:val="99"/>
    <w:rsid w:val="004249B6"/>
  </w:style>
  <w:style w:type="paragraph" w:styleId="Footer">
    <w:name w:val="footer"/>
    <w:basedOn w:val="Normal"/>
    <w:link w:val="FooterChar"/>
    <w:uiPriority w:val="99"/>
    <w:unhideWhenUsed/>
    <w:rsid w:val="004249B6"/>
    <w:pPr>
      <w:tabs>
        <w:tab w:val="center" w:pos="4680"/>
        <w:tab w:val="right" w:pos="9360"/>
      </w:tabs>
      <w:spacing w:after="0"/>
    </w:pPr>
  </w:style>
  <w:style w:type="character" w:customStyle="1" w:styleId="FooterChar">
    <w:name w:val="Footer Char"/>
    <w:basedOn w:val="DefaultParagraphFont"/>
    <w:link w:val="Footer"/>
    <w:uiPriority w:val="99"/>
    <w:rsid w:val="004249B6"/>
  </w:style>
  <w:style w:type="paragraph" w:styleId="Revision">
    <w:name w:val="Revision"/>
    <w:hidden/>
    <w:uiPriority w:val="99"/>
    <w:semiHidden/>
    <w:rsid w:val="000451E8"/>
    <w:pPr>
      <w:spacing w:after="0" w:line="240" w:lineRule="auto"/>
    </w:pPr>
  </w:style>
  <w:style w:type="character" w:styleId="CommentReference">
    <w:name w:val="annotation reference"/>
    <w:basedOn w:val="DefaultParagraphFont"/>
    <w:uiPriority w:val="99"/>
    <w:semiHidden/>
    <w:unhideWhenUsed/>
    <w:rsid w:val="00B6680B"/>
    <w:rPr>
      <w:sz w:val="16"/>
      <w:szCs w:val="16"/>
    </w:rPr>
  </w:style>
  <w:style w:type="paragraph" w:styleId="CommentText">
    <w:name w:val="annotation text"/>
    <w:basedOn w:val="Normal"/>
    <w:link w:val="CommentTextChar"/>
    <w:uiPriority w:val="99"/>
    <w:semiHidden/>
    <w:unhideWhenUsed/>
    <w:rsid w:val="00B6680B"/>
    <w:rPr>
      <w:sz w:val="20"/>
      <w:szCs w:val="20"/>
    </w:rPr>
  </w:style>
  <w:style w:type="character" w:customStyle="1" w:styleId="CommentTextChar">
    <w:name w:val="Comment Text Char"/>
    <w:basedOn w:val="DefaultParagraphFont"/>
    <w:link w:val="CommentText"/>
    <w:uiPriority w:val="99"/>
    <w:semiHidden/>
    <w:rsid w:val="00B6680B"/>
    <w:rPr>
      <w:sz w:val="20"/>
      <w:szCs w:val="20"/>
    </w:rPr>
  </w:style>
  <w:style w:type="paragraph" w:styleId="CommentSubject">
    <w:name w:val="annotation subject"/>
    <w:basedOn w:val="CommentText"/>
    <w:next w:val="CommentText"/>
    <w:link w:val="CommentSubjectChar"/>
    <w:uiPriority w:val="99"/>
    <w:semiHidden/>
    <w:unhideWhenUsed/>
    <w:rsid w:val="00B6680B"/>
    <w:rPr>
      <w:b/>
      <w:bCs/>
    </w:rPr>
  </w:style>
  <w:style w:type="character" w:customStyle="1" w:styleId="CommentSubjectChar">
    <w:name w:val="Comment Subject Char"/>
    <w:basedOn w:val="CommentTextChar"/>
    <w:link w:val="CommentSubject"/>
    <w:uiPriority w:val="99"/>
    <w:semiHidden/>
    <w:rsid w:val="00B6680B"/>
    <w:rPr>
      <w:b/>
      <w:bCs/>
      <w:sz w:val="20"/>
      <w:szCs w:val="20"/>
    </w:rPr>
  </w:style>
  <w:style w:type="character" w:styleId="FollowedHyperlink">
    <w:name w:val="FollowedHyperlink"/>
    <w:basedOn w:val="DefaultParagraphFont"/>
    <w:uiPriority w:val="99"/>
    <w:semiHidden/>
    <w:unhideWhenUsed/>
    <w:rsid w:val="0041107E"/>
    <w:rPr>
      <w:color w:val="954F72" w:themeColor="followedHyperlink"/>
      <w:u w:val="single"/>
    </w:rPr>
  </w:style>
  <w:style w:type="paragraph" w:customStyle="1" w:styleId="Footnote">
    <w:name w:val="Footnote"/>
    <w:uiPriority w:val="99"/>
    <w:rsid w:val="0094542B"/>
    <w:pPr>
      <w:widowControl w:val="0"/>
      <w:autoSpaceDE w:val="0"/>
      <w:autoSpaceDN w:val="0"/>
      <w:adjustRightInd w:val="0"/>
      <w:spacing w:after="0" w:line="240" w:lineRule="auto"/>
    </w:pPr>
    <w:rPr>
      <w:rFonts w:ascii="Calibri" w:eastAsia="TimesNewRomanPSMT" w:hAnsi="Calibri" w:cs="Times New Roman"/>
      <w:sz w:val="20"/>
      <w:szCs w:val="20"/>
    </w:rPr>
  </w:style>
  <w:style w:type="paragraph" w:customStyle="1" w:styleId="paragraph">
    <w:name w:val="paragraph"/>
    <w:basedOn w:val="Normal"/>
    <w:rsid w:val="00DC30FF"/>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778E3"/>
    <w:rPr>
      <w:color w:val="605E5C"/>
      <w:shd w:val="clear" w:color="auto" w:fill="E1DFDD"/>
    </w:rPr>
  </w:style>
  <w:style w:type="paragraph" w:styleId="BalloonText">
    <w:name w:val="Balloon Text"/>
    <w:basedOn w:val="Normal"/>
    <w:link w:val="BalloonTextChar"/>
    <w:uiPriority w:val="99"/>
    <w:semiHidden/>
    <w:unhideWhenUsed/>
    <w:rsid w:val="009778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E3"/>
    <w:rPr>
      <w:rFonts w:ascii="Segoe UI" w:hAnsi="Segoe UI" w:cs="Segoe UI"/>
      <w:sz w:val="18"/>
      <w:szCs w:val="18"/>
    </w:rPr>
  </w:style>
  <w:style w:type="character" w:customStyle="1" w:styleId="UnresolvedMention2">
    <w:name w:val="Unresolved Mention2"/>
    <w:basedOn w:val="DefaultParagraphFont"/>
    <w:uiPriority w:val="99"/>
    <w:semiHidden/>
    <w:unhideWhenUsed/>
    <w:rsid w:val="00606459"/>
    <w:rPr>
      <w:color w:val="605E5C"/>
      <w:shd w:val="clear" w:color="auto" w:fill="E1DFDD"/>
    </w:rPr>
  </w:style>
  <w:style w:type="character" w:styleId="PageNumber">
    <w:name w:val="page number"/>
    <w:basedOn w:val="DefaultParagraphFont"/>
    <w:uiPriority w:val="99"/>
    <w:semiHidden/>
    <w:unhideWhenUsed/>
    <w:rsid w:val="00762B83"/>
  </w:style>
  <w:style w:type="character" w:customStyle="1" w:styleId="ReportBodyChar">
    <w:name w:val="Report Body Char"/>
    <w:basedOn w:val="DefaultParagraphFont"/>
    <w:link w:val="ReportBody"/>
    <w:qFormat/>
    <w:rsid w:val="002B1630"/>
  </w:style>
  <w:style w:type="paragraph" w:customStyle="1" w:styleId="ReportBody">
    <w:name w:val="Report Body"/>
    <w:basedOn w:val="Normal"/>
    <w:link w:val="ReportBodyChar"/>
    <w:qFormat/>
    <w:rsid w:val="002B1630"/>
    <w:pPr>
      <w:spacing w:after="100"/>
    </w:pPr>
  </w:style>
  <w:style w:type="paragraph" w:customStyle="1" w:styleId="body">
    <w:name w:val="body"/>
    <w:basedOn w:val="Normal"/>
    <w:qFormat/>
    <w:rsid w:val="0096091B"/>
    <w:pPr>
      <w:spacing w:after="240" w:line="300" w:lineRule="auto"/>
    </w:pPr>
    <w:rPr>
      <w:rFonts w:ascii="Roboto" w:eastAsia="Roboto" w:hAnsi="Roboto" w:cs="Roboto"/>
      <w:color w:val="4C4C4C"/>
      <w:sz w:val="20"/>
      <w:szCs w:val="24"/>
    </w:rPr>
  </w:style>
  <w:style w:type="character" w:customStyle="1" w:styleId="UnresolvedMention3">
    <w:name w:val="Unresolved Mention3"/>
    <w:basedOn w:val="DefaultParagraphFont"/>
    <w:uiPriority w:val="99"/>
    <w:semiHidden/>
    <w:unhideWhenUsed/>
    <w:rsid w:val="000F6E7A"/>
    <w:rPr>
      <w:color w:val="605E5C"/>
      <w:shd w:val="clear" w:color="auto" w:fill="E1DFDD"/>
    </w:rPr>
  </w:style>
  <w:style w:type="paragraph" w:styleId="Caption">
    <w:name w:val="caption"/>
    <w:basedOn w:val="Normal"/>
    <w:next w:val="Normal"/>
    <w:uiPriority w:val="35"/>
    <w:unhideWhenUsed/>
    <w:rsid w:val="00D91C32"/>
    <w:rPr>
      <w:i/>
      <w:iCs/>
      <w:color w:val="44546A" w:themeColor="text2"/>
      <w:sz w:val="18"/>
      <w:szCs w:val="18"/>
    </w:rPr>
  </w:style>
  <w:style w:type="table" w:styleId="TableGrid">
    <w:name w:val="Table Grid"/>
    <w:basedOn w:val="TableNormal"/>
    <w:uiPriority w:val="39"/>
    <w:rsid w:val="00BD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8482E"/>
    <w:rPr>
      <w:color w:val="605E5C"/>
      <w:shd w:val="clear" w:color="auto" w:fill="E1DFDD"/>
    </w:rPr>
  </w:style>
  <w:style w:type="character" w:customStyle="1" w:styleId="UnresolvedMention5">
    <w:name w:val="Unresolved Mention5"/>
    <w:basedOn w:val="DefaultParagraphFont"/>
    <w:uiPriority w:val="99"/>
    <w:semiHidden/>
    <w:unhideWhenUsed/>
    <w:rsid w:val="000A6DDE"/>
    <w:rPr>
      <w:color w:val="605E5C"/>
      <w:shd w:val="clear" w:color="auto" w:fill="E1DFDD"/>
    </w:rPr>
  </w:style>
  <w:style w:type="character" w:styleId="UnresolvedMention">
    <w:name w:val="Unresolved Mention"/>
    <w:basedOn w:val="DefaultParagraphFont"/>
    <w:uiPriority w:val="99"/>
    <w:semiHidden/>
    <w:unhideWhenUsed/>
    <w:rsid w:val="004412DA"/>
    <w:rPr>
      <w:color w:val="605E5C"/>
      <w:shd w:val="clear" w:color="auto" w:fill="E1DFDD"/>
    </w:rPr>
  </w:style>
  <w:style w:type="character" w:customStyle="1" w:styleId="apple-converted-space">
    <w:name w:val="apple-converted-space"/>
    <w:basedOn w:val="DefaultParagraphFont"/>
    <w:rsid w:val="0046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8251">
      <w:bodyDiv w:val="1"/>
      <w:marLeft w:val="0"/>
      <w:marRight w:val="0"/>
      <w:marTop w:val="0"/>
      <w:marBottom w:val="0"/>
      <w:divBdr>
        <w:top w:val="none" w:sz="0" w:space="0" w:color="auto"/>
        <w:left w:val="none" w:sz="0" w:space="0" w:color="auto"/>
        <w:bottom w:val="none" w:sz="0" w:space="0" w:color="auto"/>
        <w:right w:val="none" w:sz="0" w:space="0" w:color="auto"/>
      </w:divBdr>
    </w:div>
    <w:div w:id="33502391">
      <w:bodyDiv w:val="1"/>
      <w:marLeft w:val="0"/>
      <w:marRight w:val="0"/>
      <w:marTop w:val="0"/>
      <w:marBottom w:val="0"/>
      <w:divBdr>
        <w:top w:val="none" w:sz="0" w:space="0" w:color="auto"/>
        <w:left w:val="none" w:sz="0" w:space="0" w:color="auto"/>
        <w:bottom w:val="none" w:sz="0" w:space="0" w:color="auto"/>
        <w:right w:val="none" w:sz="0" w:space="0" w:color="auto"/>
      </w:divBdr>
    </w:div>
    <w:div w:id="58330611">
      <w:bodyDiv w:val="1"/>
      <w:marLeft w:val="0"/>
      <w:marRight w:val="0"/>
      <w:marTop w:val="0"/>
      <w:marBottom w:val="0"/>
      <w:divBdr>
        <w:top w:val="none" w:sz="0" w:space="0" w:color="auto"/>
        <w:left w:val="none" w:sz="0" w:space="0" w:color="auto"/>
        <w:bottom w:val="none" w:sz="0" w:space="0" w:color="auto"/>
        <w:right w:val="none" w:sz="0" w:space="0" w:color="auto"/>
      </w:divBdr>
    </w:div>
    <w:div w:id="58797010">
      <w:bodyDiv w:val="1"/>
      <w:marLeft w:val="0"/>
      <w:marRight w:val="0"/>
      <w:marTop w:val="0"/>
      <w:marBottom w:val="0"/>
      <w:divBdr>
        <w:top w:val="none" w:sz="0" w:space="0" w:color="auto"/>
        <w:left w:val="none" w:sz="0" w:space="0" w:color="auto"/>
        <w:bottom w:val="none" w:sz="0" w:space="0" w:color="auto"/>
        <w:right w:val="none" w:sz="0" w:space="0" w:color="auto"/>
      </w:divBdr>
    </w:div>
    <w:div w:id="61145928">
      <w:bodyDiv w:val="1"/>
      <w:marLeft w:val="0"/>
      <w:marRight w:val="0"/>
      <w:marTop w:val="0"/>
      <w:marBottom w:val="0"/>
      <w:divBdr>
        <w:top w:val="none" w:sz="0" w:space="0" w:color="auto"/>
        <w:left w:val="none" w:sz="0" w:space="0" w:color="auto"/>
        <w:bottom w:val="none" w:sz="0" w:space="0" w:color="auto"/>
        <w:right w:val="none" w:sz="0" w:space="0" w:color="auto"/>
      </w:divBdr>
    </w:div>
    <w:div w:id="71314828">
      <w:bodyDiv w:val="1"/>
      <w:marLeft w:val="0"/>
      <w:marRight w:val="0"/>
      <w:marTop w:val="0"/>
      <w:marBottom w:val="0"/>
      <w:divBdr>
        <w:top w:val="none" w:sz="0" w:space="0" w:color="auto"/>
        <w:left w:val="none" w:sz="0" w:space="0" w:color="auto"/>
        <w:bottom w:val="none" w:sz="0" w:space="0" w:color="auto"/>
        <w:right w:val="none" w:sz="0" w:space="0" w:color="auto"/>
      </w:divBdr>
    </w:div>
    <w:div w:id="76245473">
      <w:bodyDiv w:val="1"/>
      <w:marLeft w:val="0"/>
      <w:marRight w:val="0"/>
      <w:marTop w:val="0"/>
      <w:marBottom w:val="0"/>
      <w:divBdr>
        <w:top w:val="none" w:sz="0" w:space="0" w:color="auto"/>
        <w:left w:val="none" w:sz="0" w:space="0" w:color="auto"/>
        <w:bottom w:val="none" w:sz="0" w:space="0" w:color="auto"/>
        <w:right w:val="none" w:sz="0" w:space="0" w:color="auto"/>
      </w:divBdr>
    </w:div>
    <w:div w:id="99110050">
      <w:bodyDiv w:val="1"/>
      <w:marLeft w:val="0"/>
      <w:marRight w:val="0"/>
      <w:marTop w:val="0"/>
      <w:marBottom w:val="0"/>
      <w:divBdr>
        <w:top w:val="none" w:sz="0" w:space="0" w:color="auto"/>
        <w:left w:val="none" w:sz="0" w:space="0" w:color="auto"/>
        <w:bottom w:val="none" w:sz="0" w:space="0" w:color="auto"/>
        <w:right w:val="none" w:sz="0" w:space="0" w:color="auto"/>
      </w:divBdr>
    </w:div>
    <w:div w:id="99178642">
      <w:bodyDiv w:val="1"/>
      <w:marLeft w:val="0"/>
      <w:marRight w:val="0"/>
      <w:marTop w:val="0"/>
      <w:marBottom w:val="0"/>
      <w:divBdr>
        <w:top w:val="none" w:sz="0" w:space="0" w:color="auto"/>
        <w:left w:val="none" w:sz="0" w:space="0" w:color="auto"/>
        <w:bottom w:val="none" w:sz="0" w:space="0" w:color="auto"/>
        <w:right w:val="none" w:sz="0" w:space="0" w:color="auto"/>
      </w:divBdr>
    </w:div>
    <w:div w:id="127282186">
      <w:bodyDiv w:val="1"/>
      <w:marLeft w:val="0"/>
      <w:marRight w:val="0"/>
      <w:marTop w:val="0"/>
      <w:marBottom w:val="0"/>
      <w:divBdr>
        <w:top w:val="none" w:sz="0" w:space="0" w:color="auto"/>
        <w:left w:val="none" w:sz="0" w:space="0" w:color="auto"/>
        <w:bottom w:val="none" w:sz="0" w:space="0" w:color="auto"/>
        <w:right w:val="none" w:sz="0" w:space="0" w:color="auto"/>
      </w:divBdr>
    </w:div>
    <w:div w:id="170028203">
      <w:bodyDiv w:val="1"/>
      <w:marLeft w:val="0"/>
      <w:marRight w:val="0"/>
      <w:marTop w:val="0"/>
      <w:marBottom w:val="0"/>
      <w:divBdr>
        <w:top w:val="none" w:sz="0" w:space="0" w:color="auto"/>
        <w:left w:val="none" w:sz="0" w:space="0" w:color="auto"/>
        <w:bottom w:val="none" w:sz="0" w:space="0" w:color="auto"/>
        <w:right w:val="none" w:sz="0" w:space="0" w:color="auto"/>
      </w:divBdr>
    </w:div>
    <w:div w:id="170073846">
      <w:bodyDiv w:val="1"/>
      <w:marLeft w:val="0"/>
      <w:marRight w:val="0"/>
      <w:marTop w:val="0"/>
      <w:marBottom w:val="0"/>
      <w:divBdr>
        <w:top w:val="none" w:sz="0" w:space="0" w:color="auto"/>
        <w:left w:val="none" w:sz="0" w:space="0" w:color="auto"/>
        <w:bottom w:val="none" w:sz="0" w:space="0" w:color="auto"/>
        <w:right w:val="none" w:sz="0" w:space="0" w:color="auto"/>
      </w:divBdr>
    </w:div>
    <w:div w:id="175311011">
      <w:bodyDiv w:val="1"/>
      <w:marLeft w:val="0"/>
      <w:marRight w:val="0"/>
      <w:marTop w:val="0"/>
      <w:marBottom w:val="0"/>
      <w:divBdr>
        <w:top w:val="none" w:sz="0" w:space="0" w:color="auto"/>
        <w:left w:val="none" w:sz="0" w:space="0" w:color="auto"/>
        <w:bottom w:val="none" w:sz="0" w:space="0" w:color="auto"/>
        <w:right w:val="none" w:sz="0" w:space="0" w:color="auto"/>
      </w:divBdr>
    </w:div>
    <w:div w:id="179785950">
      <w:bodyDiv w:val="1"/>
      <w:marLeft w:val="0"/>
      <w:marRight w:val="0"/>
      <w:marTop w:val="0"/>
      <w:marBottom w:val="0"/>
      <w:divBdr>
        <w:top w:val="none" w:sz="0" w:space="0" w:color="auto"/>
        <w:left w:val="none" w:sz="0" w:space="0" w:color="auto"/>
        <w:bottom w:val="none" w:sz="0" w:space="0" w:color="auto"/>
        <w:right w:val="none" w:sz="0" w:space="0" w:color="auto"/>
      </w:divBdr>
    </w:div>
    <w:div w:id="188184856">
      <w:bodyDiv w:val="1"/>
      <w:marLeft w:val="0"/>
      <w:marRight w:val="0"/>
      <w:marTop w:val="0"/>
      <w:marBottom w:val="0"/>
      <w:divBdr>
        <w:top w:val="none" w:sz="0" w:space="0" w:color="auto"/>
        <w:left w:val="none" w:sz="0" w:space="0" w:color="auto"/>
        <w:bottom w:val="none" w:sz="0" w:space="0" w:color="auto"/>
        <w:right w:val="none" w:sz="0" w:space="0" w:color="auto"/>
      </w:divBdr>
    </w:div>
    <w:div w:id="245580587">
      <w:bodyDiv w:val="1"/>
      <w:marLeft w:val="0"/>
      <w:marRight w:val="0"/>
      <w:marTop w:val="0"/>
      <w:marBottom w:val="0"/>
      <w:divBdr>
        <w:top w:val="none" w:sz="0" w:space="0" w:color="auto"/>
        <w:left w:val="none" w:sz="0" w:space="0" w:color="auto"/>
        <w:bottom w:val="none" w:sz="0" w:space="0" w:color="auto"/>
        <w:right w:val="none" w:sz="0" w:space="0" w:color="auto"/>
      </w:divBdr>
    </w:div>
    <w:div w:id="254173395">
      <w:bodyDiv w:val="1"/>
      <w:marLeft w:val="0"/>
      <w:marRight w:val="0"/>
      <w:marTop w:val="0"/>
      <w:marBottom w:val="0"/>
      <w:divBdr>
        <w:top w:val="none" w:sz="0" w:space="0" w:color="auto"/>
        <w:left w:val="none" w:sz="0" w:space="0" w:color="auto"/>
        <w:bottom w:val="none" w:sz="0" w:space="0" w:color="auto"/>
        <w:right w:val="none" w:sz="0" w:space="0" w:color="auto"/>
      </w:divBdr>
    </w:div>
    <w:div w:id="268053990">
      <w:bodyDiv w:val="1"/>
      <w:marLeft w:val="0"/>
      <w:marRight w:val="0"/>
      <w:marTop w:val="0"/>
      <w:marBottom w:val="0"/>
      <w:divBdr>
        <w:top w:val="none" w:sz="0" w:space="0" w:color="auto"/>
        <w:left w:val="none" w:sz="0" w:space="0" w:color="auto"/>
        <w:bottom w:val="none" w:sz="0" w:space="0" w:color="auto"/>
        <w:right w:val="none" w:sz="0" w:space="0" w:color="auto"/>
      </w:divBdr>
    </w:div>
    <w:div w:id="330450873">
      <w:bodyDiv w:val="1"/>
      <w:marLeft w:val="0"/>
      <w:marRight w:val="0"/>
      <w:marTop w:val="0"/>
      <w:marBottom w:val="0"/>
      <w:divBdr>
        <w:top w:val="none" w:sz="0" w:space="0" w:color="auto"/>
        <w:left w:val="none" w:sz="0" w:space="0" w:color="auto"/>
        <w:bottom w:val="none" w:sz="0" w:space="0" w:color="auto"/>
        <w:right w:val="none" w:sz="0" w:space="0" w:color="auto"/>
      </w:divBdr>
    </w:div>
    <w:div w:id="375007494">
      <w:bodyDiv w:val="1"/>
      <w:marLeft w:val="0"/>
      <w:marRight w:val="0"/>
      <w:marTop w:val="0"/>
      <w:marBottom w:val="0"/>
      <w:divBdr>
        <w:top w:val="none" w:sz="0" w:space="0" w:color="auto"/>
        <w:left w:val="none" w:sz="0" w:space="0" w:color="auto"/>
        <w:bottom w:val="none" w:sz="0" w:space="0" w:color="auto"/>
        <w:right w:val="none" w:sz="0" w:space="0" w:color="auto"/>
      </w:divBdr>
    </w:div>
    <w:div w:id="378673174">
      <w:bodyDiv w:val="1"/>
      <w:marLeft w:val="0"/>
      <w:marRight w:val="0"/>
      <w:marTop w:val="0"/>
      <w:marBottom w:val="0"/>
      <w:divBdr>
        <w:top w:val="none" w:sz="0" w:space="0" w:color="auto"/>
        <w:left w:val="none" w:sz="0" w:space="0" w:color="auto"/>
        <w:bottom w:val="none" w:sz="0" w:space="0" w:color="auto"/>
        <w:right w:val="none" w:sz="0" w:space="0" w:color="auto"/>
      </w:divBdr>
    </w:div>
    <w:div w:id="395321958">
      <w:bodyDiv w:val="1"/>
      <w:marLeft w:val="0"/>
      <w:marRight w:val="0"/>
      <w:marTop w:val="0"/>
      <w:marBottom w:val="0"/>
      <w:divBdr>
        <w:top w:val="none" w:sz="0" w:space="0" w:color="auto"/>
        <w:left w:val="none" w:sz="0" w:space="0" w:color="auto"/>
        <w:bottom w:val="none" w:sz="0" w:space="0" w:color="auto"/>
        <w:right w:val="none" w:sz="0" w:space="0" w:color="auto"/>
      </w:divBdr>
    </w:div>
    <w:div w:id="490609998">
      <w:bodyDiv w:val="1"/>
      <w:marLeft w:val="0"/>
      <w:marRight w:val="0"/>
      <w:marTop w:val="0"/>
      <w:marBottom w:val="0"/>
      <w:divBdr>
        <w:top w:val="none" w:sz="0" w:space="0" w:color="auto"/>
        <w:left w:val="none" w:sz="0" w:space="0" w:color="auto"/>
        <w:bottom w:val="none" w:sz="0" w:space="0" w:color="auto"/>
        <w:right w:val="none" w:sz="0" w:space="0" w:color="auto"/>
      </w:divBdr>
    </w:div>
    <w:div w:id="498037353">
      <w:bodyDiv w:val="1"/>
      <w:marLeft w:val="0"/>
      <w:marRight w:val="0"/>
      <w:marTop w:val="0"/>
      <w:marBottom w:val="0"/>
      <w:divBdr>
        <w:top w:val="none" w:sz="0" w:space="0" w:color="auto"/>
        <w:left w:val="none" w:sz="0" w:space="0" w:color="auto"/>
        <w:bottom w:val="none" w:sz="0" w:space="0" w:color="auto"/>
        <w:right w:val="none" w:sz="0" w:space="0" w:color="auto"/>
      </w:divBdr>
    </w:div>
    <w:div w:id="540442097">
      <w:bodyDiv w:val="1"/>
      <w:marLeft w:val="0"/>
      <w:marRight w:val="0"/>
      <w:marTop w:val="0"/>
      <w:marBottom w:val="0"/>
      <w:divBdr>
        <w:top w:val="none" w:sz="0" w:space="0" w:color="auto"/>
        <w:left w:val="none" w:sz="0" w:space="0" w:color="auto"/>
        <w:bottom w:val="none" w:sz="0" w:space="0" w:color="auto"/>
        <w:right w:val="none" w:sz="0" w:space="0" w:color="auto"/>
      </w:divBdr>
    </w:div>
    <w:div w:id="541140885">
      <w:bodyDiv w:val="1"/>
      <w:marLeft w:val="0"/>
      <w:marRight w:val="0"/>
      <w:marTop w:val="0"/>
      <w:marBottom w:val="0"/>
      <w:divBdr>
        <w:top w:val="none" w:sz="0" w:space="0" w:color="auto"/>
        <w:left w:val="none" w:sz="0" w:space="0" w:color="auto"/>
        <w:bottom w:val="none" w:sz="0" w:space="0" w:color="auto"/>
        <w:right w:val="none" w:sz="0" w:space="0" w:color="auto"/>
      </w:divBdr>
    </w:div>
    <w:div w:id="541744754">
      <w:bodyDiv w:val="1"/>
      <w:marLeft w:val="0"/>
      <w:marRight w:val="0"/>
      <w:marTop w:val="0"/>
      <w:marBottom w:val="0"/>
      <w:divBdr>
        <w:top w:val="none" w:sz="0" w:space="0" w:color="auto"/>
        <w:left w:val="none" w:sz="0" w:space="0" w:color="auto"/>
        <w:bottom w:val="none" w:sz="0" w:space="0" w:color="auto"/>
        <w:right w:val="none" w:sz="0" w:space="0" w:color="auto"/>
      </w:divBdr>
    </w:div>
    <w:div w:id="542834855">
      <w:bodyDiv w:val="1"/>
      <w:marLeft w:val="0"/>
      <w:marRight w:val="0"/>
      <w:marTop w:val="0"/>
      <w:marBottom w:val="0"/>
      <w:divBdr>
        <w:top w:val="none" w:sz="0" w:space="0" w:color="auto"/>
        <w:left w:val="none" w:sz="0" w:space="0" w:color="auto"/>
        <w:bottom w:val="none" w:sz="0" w:space="0" w:color="auto"/>
        <w:right w:val="none" w:sz="0" w:space="0" w:color="auto"/>
      </w:divBdr>
    </w:div>
    <w:div w:id="550191220">
      <w:bodyDiv w:val="1"/>
      <w:marLeft w:val="0"/>
      <w:marRight w:val="0"/>
      <w:marTop w:val="0"/>
      <w:marBottom w:val="0"/>
      <w:divBdr>
        <w:top w:val="none" w:sz="0" w:space="0" w:color="auto"/>
        <w:left w:val="none" w:sz="0" w:space="0" w:color="auto"/>
        <w:bottom w:val="none" w:sz="0" w:space="0" w:color="auto"/>
        <w:right w:val="none" w:sz="0" w:space="0" w:color="auto"/>
      </w:divBdr>
    </w:div>
    <w:div w:id="555900362">
      <w:bodyDiv w:val="1"/>
      <w:marLeft w:val="0"/>
      <w:marRight w:val="0"/>
      <w:marTop w:val="0"/>
      <w:marBottom w:val="0"/>
      <w:divBdr>
        <w:top w:val="none" w:sz="0" w:space="0" w:color="auto"/>
        <w:left w:val="none" w:sz="0" w:space="0" w:color="auto"/>
        <w:bottom w:val="none" w:sz="0" w:space="0" w:color="auto"/>
        <w:right w:val="none" w:sz="0" w:space="0" w:color="auto"/>
      </w:divBdr>
    </w:div>
    <w:div w:id="559482772">
      <w:bodyDiv w:val="1"/>
      <w:marLeft w:val="0"/>
      <w:marRight w:val="0"/>
      <w:marTop w:val="0"/>
      <w:marBottom w:val="0"/>
      <w:divBdr>
        <w:top w:val="none" w:sz="0" w:space="0" w:color="auto"/>
        <w:left w:val="none" w:sz="0" w:space="0" w:color="auto"/>
        <w:bottom w:val="none" w:sz="0" w:space="0" w:color="auto"/>
        <w:right w:val="none" w:sz="0" w:space="0" w:color="auto"/>
      </w:divBdr>
    </w:div>
    <w:div w:id="563686269">
      <w:bodyDiv w:val="1"/>
      <w:marLeft w:val="0"/>
      <w:marRight w:val="0"/>
      <w:marTop w:val="0"/>
      <w:marBottom w:val="0"/>
      <w:divBdr>
        <w:top w:val="none" w:sz="0" w:space="0" w:color="auto"/>
        <w:left w:val="none" w:sz="0" w:space="0" w:color="auto"/>
        <w:bottom w:val="none" w:sz="0" w:space="0" w:color="auto"/>
        <w:right w:val="none" w:sz="0" w:space="0" w:color="auto"/>
      </w:divBdr>
    </w:div>
    <w:div w:id="591356044">
      <w:bodyDiv w:val="1"/>
      <w:marLeft w:val="0"/>
      <w:marRight w:val="0"/>
      <w:marTop w:val="0"/>
      <w:marBottom w:val="0"/>
      <w:divBdr>
        <w:top w:val="none" w:sz="0" w:space="0" w:color="auto"/>
        <w:left w:val="none" w:sz="0" w:space="0" w:color="auto"/>
        <w:bottom w:val="none" w:sz="0" w:space="0" w:color="auto"/>
        <w:right w:val="none" w:sz="0" w:space="0" w:color="auto"/>
      </w:divBdr>
    </w:div>
    <w:div w:id="595020493">
      <w:bodyDiv w:val="1"/>
      <w:marLeft w:val="0"/>
      <w:marRight w:val="0"/>
      <w:marTop w:val="0"/>
      <w:marBottom w:val="0"/>
      <w:divBdr>
        <w:top w:val="none" w:sz="0" w:space="0" w:color="auto"/>
        <w:left w:val="none" w:sz="0" w:space="0" w:color="auto"/>
        <w:bottom w:val="none" w:sz="0" w:space="0" w:color="auto"/>
        <w:right w:val="none" w:sz="0" w:space="0" w:color="auto"/>
      </w:divBdr>
    </w:div>
    <w:div w:id="597249131">
      <w:bodyDiv w:val="1"/>
      <w:marLeft w:val="0"/>
      <w:marRight w:val="0"/>
      <w:marTop w:val="0"/>
      <w:marBottom w:val="0"/>
      <w:divBdr>
        <w:top w:val="none" w:sz="0" w:space="0" w:color="auto"/>
        <w:left w:val="none" w:sz="0" w:space="0" w:color="auto"/>
        <w:bottom w:val="none" w:sz="0" w:space="0" w:color="auto"/>
        <w:right w:val="none" w:sz="0" w:space="0" w:color="auto"/>
      </w:divBdr>
    </w:div>
    <w:div w:id="641929542">
      <w:bodyDiv w:val="1"/>
      <w:marLeft w:val="0"/>
      <w:marRight w:val="0"/>
      <w:marTop w:val="0"/>
      <w:marBottom w:val="0"/>
      <w:divBdr>
        <w:top w:val="none" w:sz="0" w:space="0" w:color="auto"/>
        <w:left w:val="none" w:sz="0" w:space="0" w:color="auto"/>
        <w:bottom w:val="none" w:sz="0" w:space="0" w:color="auto"/>
        <w:right w:val="none" w:sz="0" w:space="0" w:color="auto"/>
      </w:divBdr>
    </w:div>
    <w:div w:id="683627094">
      <w:bodyDiv w:val="1"/>
      <w:marLeft w:val="0"/>
      <w:marRight w:val="0"/>
      <w:marTop w:val="0"/>
      <w:marBottom w:val="0"/>
      <w:divBdr>
        <w:top w:val="none" w:sz="0" w:space="0" w:color="auto"/>
        <w:left w:val="none" w:sz="0" w:space="0" w:color="auto"/>
        <w:bottom w:val="none" w:sz="0" w:space="0" w:color="auto"/>
        <w:right w:val="none" w:sz="0" w:space="0" w:color="auto"/>
      </w:divBdr>
    </w:div>
    <w:div w:id="700209628">
      <w:bodyDiv w:val="1"/>
      <w:marLeft w:val="0"/>
      <w:marRight w:val="0"/>
      <w:marTop w:val="0"/>
      <w:marBottom w:val="0"/>
      <w:divBdr>
        <w:top w:val="none" w:sz="0" w:space="0" w:color="auto"/>
        <w:left w:val="none" w:sz="0" w:space="0" w:color="auto"/>
        <w:bottom w:val="none" w:sz="0" w:space="0" w:color="auto"/>
        <w:right w:val="none" w:sz="0" w:space="0" w:color="auto"/>
      </w:divBdr>
    </w:div>
    <w:div w:id="700277083">
      <w:bodyDiv w:val="1"/>
      <w:marLeft w:val="0"/>
      <w:marRight w:val="0"/>
      <w:marTop w:val="0"/>
      <w:marBottom w:val="0"/>
      <w:divBdr>
        <w:top w:val="none" w:sz="0" w:space="0" w:color="auto"/>
        <w:left w:val="none" w:sz="0" w:space="0" w:color="auto"/>
        <w:bottom w:val="none" w:sz="0" w:space="0" w:color="auto"/>
        <w:right w:val="none" w:sz="0" w:space="0" w:color="auto"/>
      </w:divBdr>
    </w:div>
    <w:div w:id="718937215">
      <w:bodyDiv w:val="1"/>
      <w:marLeft w:val="0"/>
      <w:marRight w:val="0"/>
      <w:marTop w:val="0"/>
      <w:marBottom w:val="0"/>
      <w:divBdr>
        <w:top w:val="none" w:sz="0" w:space="0" w:color="auto"/>
        <w:left w:val="none" w:sz="0" w:space="0" w:color="auto"/>
        <w:bottom w:val="none" w:sz="0" w:space="0" w:color="auto"/>
        <w:right w:val="none" w:sz="0" w:space="0" w:color="auto"/>
      </w:divBdr>
    </w:div>
    <w:div w:id="769739172">
      <w:bodyDiv w:val="1"/>
      <w:marLeft w:val="0"/>
      <w:marRight w:val="0"/>
      <w:marTop w:val="0"/>
      <w:marBottom w:val="0"/>
      <w:divBdr>
        <w:top w:val="none" w:sz="0" w:space="0" w:color="auto"/>
        <w:left w:val="none" w:sz="0" w:space="0" w:color="auto"/>
        <w:bottom w:val="none" w:sz="0" w:space="0" w:color="auto"/>
        <w:right w:val="none" w:sz="0" w:space="0" w:color="auto"/>
      </w:divBdr>
    </w:div>
    <w:div w:id="812330227">
      <w:bodyDiv w:val="1"/>
      <w:marLeft w:val="0"/>
      <w:marRight w:val="0"/>
      <w:marTop w:val="0"/>
      <w:marBottom w:val="0"/>
      <w:divBdr>
        <w:top w:val="none" w:sz="0" w:space="0" w:color="auto"/>
        <w:left w:val="none" w:sz="0" w:space="0" w:color="auto"/>
        <w:bottom w:val="none" w:sz="0" w:space="0" w:color="auto"/>
        <w:right w:val="none" w:sz="0" w:space="0" w:color="auto"/>
      </w:divBdr>
    </w:div>
    <w:div w:id="925042026">
      <w:bodyDiv w:val="1"/>
      <w:marLeft w:val="0"/>
      <w:marRight w:val="0"/>
      <w:marTop w:val="0"/>
      <w:marBottom w:val="0"/>
      <w:divBdr>
        <w:top w:val="none" w:sz="0" w:space="0" w:color="auto"/>
        <w:left w:val="none" w:sz="0" w:space="0" w:color="auto"/>
        <w:bottom w:val="none" w:sz="0" w:space="0" w:color="auto"/>
        <w:right w:val="none" w:sz="0" w:space="0" w:color="auto"/>
      </w:divBdr>
    </w:div>
    <w:div w:id="943420039">
      <w:bodyDiv w:val="1"/>
      <w:marLeft w:val="0"/>
      <w:marRight w:val="0"/>
      <w:marTop w:val="0"/>
      <w:marBottom w:val="0"/>
      <w:divBdr>
        <w:top w:val="none" w:sz="0" w:space="0" w:color="auto"/>
        <w:left w:val="none" w:sz="0" w:space="0" w:color="auto"/>
        <w:bottom w:val="none" w:sz="0" w:space="0" w:color="auto"/>
        <w:right w:val="none" w:sz="0" w:space="0" w:color="auto"/>
      </w:divBdr>
    </w:div>
    <w:div w:id="952857066">
      <w:bodyDiv w:val="1"/>
      <w:marLeft w:val="0"/>
      <w:marRight w:val="0"/>
      <w:marTop w:val="0"/>
      <w:marBottom w:val="0"/>
      <w:divBdr>
        <w:top w:val="none" w:sz="0" w:space="0" w:color="auto"/>
        <w:left w:val="none" w:sz="0" w:space="0" w:color="auto"/>
        <w:bottom w:val="none" w:sz="0" w:space="0" w:color="auto"/>
        <w:right w:val="none" w:sz="0" w:space="0" w:color="auto"/>
      </w:divBdr>
    </w:div>
    <w:div w:id="976226722">
      <w:bodyDiv w:val="1"/>
      <w:marLeft w:val="0"/>
      <w:marRight w:val="0"/>
      <w:marTop w:val="0"/>
      <w:marBottom w:val="0"/>
      <w:divBdr>
        <w:top w:val="none" w:sz="0" w:space="0" w:color="auto"/>
        <w:left w:val="none" w:sz="0" w:space="0" w:color="auto"/>
        <w:bottom w:val="none" w:sz="0" w:space="0" w:color="auto"/>
        <w:right w:val="none" w:sz="0" w:space="0" w:color="auto"/>
      </w:divBdr>
    </w:div>
    <w:div w:id="982351469">
      <w:bodyDiv w:val="1"/>
      <w:marLeft w:val="0"/>
      <w:marRight w:val="0"/>
      <w:marTop w:val="0"/>
      <w:marBottom w:val="0"/>
      <w:divBdr>
        <w:top w:val="none" w:sz="0" w:space="0" w:color="auto"/>
        <w:left w:val="none" w:sz="0" w:space="0" w:color="auto"/>
        <w:bottom w:val="none" w:sz="0" w:space="0" w:color="auto"/>
        <w:right w:val="none" w:sz="0" w:space="0" w:color="auto"/>
      </w:divBdr>
    </w:div>
    <w:div w:id="984242583">
      <w:bodyDiv w:val="1"/>
      <w:marLeft w:val="0"/>
      <w:marRight w:val="0"/>
      <w:marTop w:val="0"/>
      <w:marBottom w:val="0"/>
      <w:divBdr>
        <w:top w:val="none" w:sz="0" w:space="0" w:color="auto"/>
        <w:left w:val="none" w:sz="0" w:space="0" w:color="auto"/>
        <w:bottom w:val="none" w:sz="0" w:space="0" w:color="auto"/>
        <w:right w:val="none" w:sz="0" w:space="0" w:color="auto"/>
      </w:divBdr>
    </w:div>
    <w:div w:id="991565937">
      <w:bodyDiv w:val="1"/>
      <w:marLeft w:val="0"/>
      <w:marRight w:val="0"/>
      <w:marTop w:val="0"/>
      <w:marBottom w:val="0"/>
      <w:divBdr>
        <w:top w:val="none" w:sz="0" w:space="0" w:color="auto"/>
        <w:left w:val="none" w:sz="0" w:space="0" w:color="auto"/>
        <w:bottom w:val="none" w:sz="0" w:space="0" w:color="auto"/>
        <w:right w:val="none" w:sz="0" w:space="0" w:color="auto"/>
      </w:divBdr>
    </w:div>
    <w:div w:id="1068648100">
      <w:bodyDiv w:val="1"/>
      <w:marLeft w:val="0"/>
      <w:marRight w:val="0"/>
      <w:marTop w:val="0"/>
      <w:marBottom w:val="0"/>
      <w:divBdr>
        <w:top w:val="none" w:sz="0" w:space="0" w:color="auto"/>
        <w:left w:val="none" w:sz="0" w:space="0" w:color="auto"/>
        <w:bottom w:val="none" w:sz="0" w:space="0" w:color="auto"/>
        <w:right w:val="none" w:sz="0" w:space="0" w:color="auto"/>
      </w:divBdr>
    </w:div>
    <w:div w:id="1091658247">
      <w:bodyDiv w:val="1"/>
      <w:marLeft w:val="0"/>
      <w:marRight w:val="0"/>
      <w:marTop w:val="0"/>
      <w:marBottom w:val="0"/>
      <w:divBdr>
        <w:top w:val="none" w:sz="0" w:space="0" w:color="auto"/>
        <w:left w:val="none" w:sz="0" w:space="0" w:color="auto"/>
        <w:bottom w:val="none" w:sz="0" w:space="0" w:color="auto"/>
        <w:right w:val="none" w:sz="0" w:space="0" w:color="auto"/>
      </w:divBdr>
    </w:div>
    <w:div w:id="1131283709">
      <w:bodyDiv w:val="1"/>
      <w:marLeft w:val="0"/>
      <w:marRight w:val="0"/>
      <w:marTop w:val="0"/>
      <w:marBottom w:val="0"/>
      <w:divBdr>
        <w:top w:val="none" w:sz="0" w:space="0" w:color="auto"/>
        <w:left w:val="none" w:sz="0" w:space="0" w:color="auto"/>
        <w:bottom w:val="none" w:sz="0" w:space="0" w:color="auto"/>
        <w:right w:val="none" w:sz="0" w:space="0" w:color="auto"/>
      </w:divBdr>
    </w:div>
    <w:div w:id="1132937815">
      <w:bodyDiv w:val="1"/>
      <w:marLeft w:val="0"/>
      <w:marRight w:val="0"/>
      <w:marTop w:val="0"/>
      <w:marBottom w:val="0"/>
      <w:divBdr>
        <w:top w:val="none" w:sz="0" w:space="0" w:color="auto"/>
        <w:left w:val="none" w:sz="0" w:space="0" w:color="auto"/>
        <w:bottom w:val="none" w:sz="0" w:space="0" w:color="auto"/>
        <w:right w:val="none" w:sz="0" w:space="0" w:color="auto"/>
      </w:divBdr>
    </w:div>
    <w:div w:id="1133325555">
      <w:bodyDiv w:val="1"/>
      <w:marLeft w:val="0"/>
      <w:marRight w:val="0"/>
      <w:marTop w:val="0"/>
      <w:marBottom w:val="0"/>
      <w:divBdr>
        <w:top w:val="none" w:sz="0" w:space="0" w:color="auto"/>
        <w:left w:val="none" w:sz="0" w:space="0" w:color="auto"/>
        <w:bottom w:val="none" w:sz="0" w:space="0" w:color="auto"/>
        <w:right w:val="none" w:sz="0" w:space="0" w:color="auto"/>
      </w:divBdr>
    </w:div>
    <w:div w:id="1172062131">
      <w:bodyDiv w:val="1"/>
      <w:marLeft w:val="0"/>
      <w:marRight w:val="0"/>
      <w:marTop w:val="0"/>
      <w:marBottom w:val="0"/>
      <w:divBdr>
        <w:top w:val="none" w:sz="0" w:space="0" w:color="auto"/>
        <w:left w:val="none" w:sz="0" w:space="0" w:color="auto"/>
        <w:bottom w:val="none" w:sz="0" w:space="0" w:color="auto"/>
        <w:right w:val="none" w:sz="0" w:space="0" w:color="auto"/>
      </w:divBdr>
    </w:div>
    <w:div w:id="1181118879">
      <w:bodyDiv w:val="1"/>
      <w:marLeft w:val="0"/>
      <w:marRight w:val="0"/>
      <w:marTop w:val="0"/>
      <w:marBottom w:val="0"/>
      <w:divBdr>
        <w:top w:val="none" w:sz="0" w:space="0" w:color="auto"/>
        <w:left w:val="none" w:sz="0" w:space="0" w:color="auto"/>
        <w:bottom w:val="none" w:sz="0" w:space="0" w:color="auto"/>
        <w:right w:val="none" w:sz="0" w:space="0" w:color="auto"/>
      </w:divBdr>
    </w:div>
    <w:div w:id="1207066327">
      <w:bodyDiv w:val="1"/>
      <w:marLeft w:val="0"/>
      <w:marRight w:val="0"/>
      <w:marTop w:val="0"/>
      <w:marBottom w:val="0"/>
      <w:divBdr>
        <w:top w:val="none" w:sz="0" w:space="0" w:color="auto"/>
        <w:left w:val="none" w:sz="0" w:space="0" w:color="auto"/>
        <w:bottom w:val="none" w:sz="0" w:space="0" w:color="auto"/>
        <w:right w:val="none" w:sz="0" w:space="0" w:color="auto"/>
      </w:divBdr>
    </w:div>
    <w:div w:id="1210844581">
      <w:bodyDiv w:val="1"/>
      <w:marLeft w:val="0"/>
      <w:marRight w:val="0"/>
      <w:marTop w:val="0"/>
      <w:marBottom w:val="0"/>
      <w:divBdr>
        <w:top w:val="none" w:sz="0" w:space="0" w:color="auto"/>
        <w:left w:val="none" w:sz="0" w:space="0" w:color="auto"/>
        <w:bottom w:val="none" w:sz="0" w:space="0" w:color="auto"/>
        <w:right w:val="none" w:sz="0" w:space="0" w:color="auto"/>
      </w:divBdr>
    </w:div>
    <w:div w:id="1226917720">
      <w:bodyDiv w:val="1"/>
      <w:marLeft w:val="0"/>
      <w:marRight w:val="0"/>
      <w:marTop w:val="0"/>
      <w:marBottom w:val="0"/>
      <w:divBdr>
        <w:top w:val="none" w:sz="0" w:space="0" w:color="auto"/>
        <w:left w:val="none" w:sz="0" w:space="0" w:color="auto"/>
        <w:bottom w:val="none" w:sz="0" w:space="0" w:color="auto"/>
        <w:right w:val="none" w:sz="0" w:space="0" w:color="auto"/>
      </w:divBdr>
    </w:div>
    <w:div w:id="1230000126">
      <w:bodyDiv w:val="1"/>
      <w:marLeft w:val="0"/>
      <w:marRight w:val="0"/>
      <w:marTop w:val="0"/>
      <w:marBottom w:val="0"/>
      <w:divBdr>
        <w:top w:val="none" w:sz="0" w:space="0" w:color="auto"/>
        <w:left w:val="none" w:sz="0" w:space="0" w:color="auto"/>
        <w:bottom w:val="none" w:sz="0" w:space="0" w:color="auto"/>
        <w:right w:val="none" w:sz="0" w:space="0" w:color="auto"/>
      </w:divBdr>
    </w:div>
    <w:div w:id="1234510682">
      <w:bodyDiv w:val="1"/>
      <w:marLeft w:val="0"/>
      <w:marRight w:val="0"/>
      <w:marTop w:val="0"/>
      <w:marBottom w:val="0"/>
      <w:divBdr>
        <w:top w:val="none" w:sz="0" w:space="0" w:color="auto"/>
        <w:left w:val="none" w:sz="0" w:space="0" w:color="auto"/>
        <w:bottom w:val="none" w:sz="0" w:space="0" w:color="auto"/>
        <w:right w:val="none" w:sz="0" w:space="0" w:color="auto"/>
      </w:divBdr>
    </w:div>
    <w:div w:id="1244993500">
      <w:bodyDiv w:val="1"/>
      <w:marLeft w:val="0"/>
      <w:marRight w:val="0"/>
      <w:marTop w:val="0"/>
      <w:marBottom w:val="0"/>
      <w:divBdr>
        <w:top w:val="none" w:sz="0" w:space="0" w:color="auto"/>
        <w:left w:val="none" w:sz="0" w:space="0" w:color="auto"/>
        <w:bottom w:val="none" w:sz="0" w:space="0" w:color="auto"/>
        <w:right w:val="none" w:sz="0" w:space="0" w:color="auto"/>
      </w:divBdr>
    </w:div>
    <w:div w:id="1245526867">
      <w:bodyDiv w:val="1"/>
      <w:marLeft w:val="0"/>
      <w:marRight w:val="0"/>
      <w:marTop w:val="0"/>
      <w:marBottom w:val="0"/>
      <w:divBdr>
        <w:top w:val="none" w:sz="0" w:space="0" w:color="auto"/>
        <w:left w:val="none" w:sz="0" w:space="0" w:color="auto"/>
        <w:bottom w:val="none" w:sz="0" w:space="0" w:color="auto"/>
        <w:right w:val="none" w:sz="0" w:space="0" w:color="auto"/>
      </w:divBdr>
    </w:div>
    <w:div w:id="1267419316">
      <w:bodyDiv w:val="1"/>
      <w:marLeft w:val="0"/>
      <w:marRight w:val="0"/>
      <w:marTop w:val="0"/>
      <w:marBottom w:val="0"/>
      <w:divBdr>
        <w:top w:val="none" w:sz="0" w:space="0" w:color="auto"/>
        <w:left w:val="none" w:sz="0" w:space="0" w:color="auto"/>
        <w:bottom w:val="none" w:sz="0" w:space="0" w:color="auto"/>
        <w:right w:val="none" w:sz="0" w:space="0" w:color="auto"/>
      </w:divBdr>
    </w:div>
    <w:div w:id="1302804852">
      <w:bodyDiv w:val="1"/>
      <w:marLeft w:val="0"/>
      <w:marRight w:val="0"/>
      <w:marTop w:val="0"/>
      <w:marBottom w:val="0"/>
      <w:divBdr>
        <w:top w:val="none" w:sz="0" w:space="0" w:color="auto"/>
        <w:left w:val="none" w:sz="0" w:space="0" w:color="auto"/>
        <w:bottom w:val="none" w:sz="0" w:space="0" w:color="auto"/>
        <w:right w:val="none" w:sz="0" w:space="0" w:color="auto"/>
      </w:divBdr>
    </w:div>
    <w:div w:id="1312445557">
      <w:bodyDiv w:val="1"/>
      <w:marLeft w:val="0"/>
      <w:marRight w:val="0"/>
      <w:marTop w:val="0"/>
      <w:marBottom w:val="0"/>
      <w:divBdr>
        <w:top w:val="none" w:sz="0" w:space="0" w:color="auto"/>
        <w:left w:val="none" w:sz="0" w:space="0" w:color="auto"/>
        <w:bottom w:val="none" w:sz="0" w:space="0" w:color="auto"/>
        <w:right w:val="none" w:sz="0" w:space="0" w:color="auto"/>
      </w:divBdr>
    </w:div>
    <w:div w:id="1326666392">
      <w:bodyDiv w:val="1"/>
      <w:marLeft w:val="0"/>
      <w:marRight w:val="0"/>
      <w:marTop w:val="0"/>
      <w:marBottom w:val="0"/>
      <w:divBdr>
        <w:top w:val="none" w:sz="0" w:space="0" w:color="auto"/>
        <w:left w:val="none" w:sz="0" w:space="0" w:color="auto"/>
        <w:bottom w:val="none" w:sz="0" w:space="0" w:color="auto"/>
        <w:right w:val="none" w:sz="0" w:space="0" w:color="auto"/>
      </w:divBdr>
    </w:div>
    <w:div w:id="1344473691">
      <w:bodyDiv w:val="1"/>
      <w:marLeft w:val="0"/>
      <w:marRight w:val="0"/>
      <w:marTop w:val="0"/>
      <w:marBottom w:val="0"/>
      <w:divBdr>
        <w:top w:val="none" w:sz="0" w:space="0" w:color="auto"/>
        <w:left w:val="none" w:sz="0" w:space="0" w:color="auto"/>
        <w:bottom w:val="none" w:sz="0" w:space="0" w:color="auto"/>
        <w:right w:val="none" w:sz="0" w:space="0" w:color="auto"/>
      </w:divBdr>
    </w:div>
    <w:div w:id="1374422713">
      <w:bodyDiv w:val="1"/>
      <w:marLeft w:val="0"/>
      <w:marRight w:val="0"/>
      <w:marTop w:val="0"/>
      <w:marBottom w:val="0"/>
      <w:divBdr>
        <w:top w:val="none" w:sz="0" w:space="0" w:color="auto"/>
        <w:left w:val="none" w:sz="0" w:space="0" w:color="auto"/>
        <w:bottom w:val="none" w:sz="0" w:space="0" w:color="auto"/>
        <w:right w:val="none" w:sz="0" w:space="0" w:color="auto"/>
      </w:divBdr>
    </w:div>
    <w:div w:id="1447968575">
      <w:bodyDiv w:val="1"/>
      <w:marLeft w:val="0"/>
      <w:marRight w:val="0"/>
      <w:marTop w:val="0"/>
      <w:marBottom w:val="0"/>
      <w:divBdr>
        <w:top w:val="none" w:sz="0" w:space="0" w:color="auto"/>
        <w:left w:val="none" w:sz="0" w:space="0" w:color="auto"/>
        <w:bottom w:val="none" w:sz="0" w:space="0" w:color="auto"/>
        <w:right w:val="none" w:sz="0" w:space="0" w:color="auto"/>
      </w:divBdr>
    </w:div>
    <w:div w:id="1468430418">
      <w:bodyDiv w:val="1"/>
      <w:marLeft w:val="0"/>
      <w:marRight w:val="0"/>
      <w:marTop w:val="0"/>
      <w:marBottom w:val="0"/>
      <w:divBdr>
        <w:top w:val="none" w:sz="0" w:space="0" w:color="auto"/>
        <w:left w:val="none" w:sz="0" w:space="0" w:color="auto"/>
        <w:bottom w:val="none" w:sz="0" w:space="0" w:color="auto"/>
        <w:right w:val="none" w:sz="0" w:space="0" w:color="auto"/>
      </w:divBdr>
    </w:div>
    <w:div w:id="1525443232">
      <w:bodyDiv w:val="1"/>
      <w:marLeft w:val="0"/>
      <w:marRight w:val="0"/>
      <w:marTop w:val="0"/>
      <w:marBottom w:val="0"/>
      <w:divBdr>
        <w:top w:val="none" w:sz="0" w:space="0" w:color="auto"/>
        <w:left w:val="none" w:sz="0" w:space="0" w:color="auto"/>
        <w:bottom w:val="none" w:sz="0" w:space="0" w:color="auto"/>
        <w:right w:val="none" w:sz="0" w:space="0" w:color="auto"/>
      </w:divBdr>
    </w:div>
    <w:div w:id="1655067023">
      <w:bodyDiv w:val="1"/>
      <w:marLeft w:val="0"/>
      <w:marRight w:val="0"/>
      <w:marTop w:val="0"/>
      <w:marBottom w:val="0"/>
      <w:divBdr>
        <w:top w:val="none" w:sz="0" w:space="0" w:color="auto"/>
        <w:left w:val="none" w:sz="0" w:space="0" w:color="auto"/>
        <w:bottom w:val="none" w:sz="0" w:space="0" w:color="auto"/>
        <w:right w:val="none" w:sz="0" w:space="0" w:color="auto"/>
      </w:divBdr>
    </w:div>
    <w:div w:id="1670012908">
      <w:bodyDiv w:val="1"/>
      <w:marLeft w:val="0"/>
      <w:marRight w:val="0"/>
      <w:marTop w:val="0"/>
      <w:marBottom w:val="0"/>
      <w:divBdr>
        <w:top w:val="none" w:sz="0" w:space="0" w:color="auto"/>
        <w:left w:val="none" w:sz="0" w:space="0" w:color="auto"/>
        <w:bottom w:val="none" w:sz="0" w:space="0" w:color="auto"/>
        <w:right w:val="none" w:sz="0" w:space="0" w:color="auto"/>
      </w:divBdr>
    </w:div>
    <w:div w:id="1716661861">
      <w:bodyDiv w:val="1"/>
      <w:marLeft w:val="0"/>
      <w:marRight w:val="0"/>
      <w:marTop w:val="0"/>
      <w:marBottom w:val="0"/>
      <w:divBdr>
        <w:top w:val="none" w:sz="0" w:space="0" w:color="auto"/>
        <w:left w:val="none" w:sz="0" w:space="0" w:color="auto"/>
        <w:bottom w:val="none" w:sz="0" w:space="0" w:color="auto"/>
        <w:right w:val="none" w:sz="0" w:space="0" w:color="auto"/>
      </w:divBdr>
    </w:div>
    <w:div w:id="1725760502">
      <w:bodyDiv w:val="1"/>
      <w:marLeft w:val="0"/>
      <w:marRight w:val="0"/>
      <w:marTop w:val="0"/>
      <w:marBottom w:val="0"/>
      <w:divBdr>
        <w:top w:val="none" w:sz="0" w:space="0" w:color="auto"/>
        <w:left w:val="none" w:sz="0" w:space="0" w:color="auto"/>
        <w:bottom w:val="none" w:sz="0" w:space="0" w:color="auto"/>
        <w:right w:val="none" w:sz="0" w:space="0" w:color="auto"/>
      </w:divBdr>
    </w:div>
    <w:div w:id="1730684085">
      <w:bodyDiv w:val="1"/>
      <w:marLeft w:val="0"/>
      <w:marRight w:val="0"/>
      <w:marTop w:val="0"/>
      <w:marBottom w:val="0"/>
      <w:divBdr>
        <w:top w:val="none" w:sz="0" w:space="0" w:color="auto"/>
        <w:left w:val="none" w:sz="0" w:space="0" w:color="auto"/>
        <w:bottom w:val="none" w:sz="0" w:space="0" w:color="auto"/>
        <w:right w:val="none" w:sz="0" w:space="0" w:color="auto"/>
      </w:divBdr>
    </w:div>
    <w:div w:id="17399381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sChild>
        <w:div w:id="1928417863">
          <w:marLeft w:val="0"/>
          <w:marRight w:val="0"/>
          <w:marTop w:val="90"/>
          <w:marBottom w:val="0"/>
          <w:divBdr>
            <w:top w:val="none" w:sz="0" w:space="0" w:color="auto"/>
            <w:left w:val="none" w:sz="0" w:space="0" w:color="auto"/>
            <w:bottom w:val="none" w:sz="0" w:space="0" w:color="auto"/>
            <w:right w:val="none" w:sz="0" w:space="0" w:color="auto"/>
          </w:divBdr>
        </w:div>
        <w:div w:id="2073000127">
          <w:marLeft w:val="0"/>
          <w:marRight w:val="0"/>
          <w:marTop w:val="90"/>
          <w:marBottom w:val="0"/>
          <w:divBdr>
            <w:top w:val="none" w:sz="0" w:space="0" w:color="auto"/>
            <w:left w:val="none" w:sz="0" w:space="0" w:color="auto"/>
            <w:bottom w:val="none" w:sz="0" w:space="0" w:color="auto"/>
            <w:right w:val="none" w:sz="0" w:space="0" w:color="auto"/>
          </w:divBdr>
        </w:div>
      </w:divsChild>
    </w:div>
    <w:div w:id="1748458124">
      <w:bodyDiv w:val="1"/>
      <w:marLeft w:val="0"/>
      <w:marRight w:val="0"/>
      <w:marTop w:val="0"/>
      <w:marBottom w:val="0"/>
      <w:divBdr>
        <w:top w:val="none" w:sz="0" w:space="0" w:color="auto"/>
        <w:left w:val="none" w:sz="0" w:space="0" w:color="auto"/>
        <w:bottom w:val="none" w:sz="0" w:space="0" w:color="auto"/>
        <w:right w:val="none" w:sz="0" w:space="0" w:color="auto"/>
      </w:divBdr>
    </w:div>
    <w:div w:id="1789465340">
      <w:bodyDiv w:val="1"/>
      <w:marLeft w:val="0"/>
      <w:marRight w:val="0"/>
      <w:marTop w:val="0"/>
      <w:marBottom w:val="0"/>
      <w:divBdr>
        <w:top w:val="none" w:sz="0" w:space="0" w:color="auto"/>
        <w:left w:val="none" w:sz="0" w:space="0" w:color="auto"/>
        <w:bottom w:val="none" w:sz="0" w:space="0" w:color="auto"/>
        <w:right w:val="none" w:sz="0" w:space="0" w:color="auto"/>
      </w:divBdr>
    </w:div>
    <w:div w:id="1831367623">
      <w:bodyDiv w:val="1"/>
      <w:marLeft w:val="0"/>
      <w:marRight w:val="0"/>
      <w:marTop w:val="0"/>
      <w:marBottom w:val="0"/>
      <w:divBdr>
        <w:top w:val="none" w:sz="0" w:space="0" w:color="auto"/>
        <w:left w:val="none" w:sz="0" w:space="0" w:color="auto"/>
        <w:bottom w:val="none" w:sz="0" w:space="0" w:color="auto"/>
        <w:right w:val="none" w:sz="0" w:space="0" w:color="auto"/>
      </w:divBdr>
    </w:div>
    <w:div w:id="1856653798">
      <w:bodyDiv w:val="1"/>
      <w:marLeft w:val="0"/>
      <w:marRight w:val="0"/>
      <w:marTop w:val="0"/>
      <w:marBottom w:val="0"/>
      <w:divBdr>
        <w:top w:val="none" w:sz="0" w:space="0" w:color="auto"/>
        <w:left w:val="none" w:sz="0" w:space="0" w:color="auto"/>
        <w:bottom w:val="none" w:sz="0" w:space="0" w:color="auto"/>
        <w:right w:val="none" w:sz="0" w:space="0" w:color="auto"/>
      </w:divBdr>
    </w:div>
    <w:div w:id="1858889534">
      <w:bodyDiv w:val="1"/>
      <w:marLeft w:val="0"/>
      <w:marRight w:val="0"/>
      <w:marTop w:val="0"/>
      <w:marBottom w:val="0"/>
      <w:divBdr>
        <w:top w:val="none" w:sz="0" w:space="0" w:color="auto"/>
        <w:left w:val="none" w:sz="0" w:space="0" w:color="auto"/>
        <w:bottom w:val="none" w:sz="0" w:space="0" w:color="auto"/>
        <w:right w:val="none" w:sz="0" w:space="0" w:color="auto"/>
      </w:divBdr>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1892155769">
      <w:bodyDiv w:val="1"/>
      <w:marLeft w:val="0"/>
      <w:marRight w:val="0"/>
      <w:marTop w:val="0"/>
      <w:marBottom w:val="0"/>
      <w:divBdr>
        <w:top w:val="none" w:sz="0" w:space="0" w:color="auto"/>
        <w:left w:val="none" w:sz="0" w:space="0" w:color="auto"/>
        <w:bottom w:val="none" w:sz="0" w:space="0" w:color="auto"/>
        <w:right w:val="none" w:sz="0" w:space="0" w:color="auto"/>
      </w:divBdr>
    </w:div>
    <w:div w:id="1899123701">
      <w:bodyDiv w:val="1"/>
      <w:marLeft w:val="0"/>
      <w:marRight w:val="0"/>
      <w:marTop w:val="0"/>
      <w:marBottom w:val="0"/>
      <w:divBdr>
        <w:top w:val="none" w:sz="0" w:space="0" w:color="auto"/>
        <w:left w:val="none" w:sz="0" w:space="0" w:color="auto"/>
        <w:bottom w:val="none" w:sz="0" w:space="0" w:color="auto"/>
        <w:right w:val="none" w:sz="0" w:space="0" w:color="auto"/>
      </w:divBdr>
    </w:div>
    <w:div w:id="1922257438">
      <w:bodyDiv w:val="1"/>
      <w:marLeft w:val="0"/>
      <w:marRight w:val="0"/>
      <w:marTop w:val="0"/>
      <w:marBottom w:val="0"/>
      <w:divBdr>
        <w:top w:val="none" w:sz="0" w:space="0" w:color="auto"/>
        <w:left w:val="none" w:sz="0" w:space="0" w:color="auto"/>
        <w:bottom w:val="none" w:sz="0" w:space="0" w:color="auto"/>
        <w:right w:val="none" w:sz="0" w:space="0" w:color="auto"/>
      </w:divBdr>
      <w:divsChild>
        <w:div w:id="859275242">
          <w:marLeft w:val="0"/>
          <w:marRight w:val="0"/>
          <w:marTop w:val="90"/>
          <w:marBottom w:val="0"/>
          <w:divBdr>
            <w:top w:val="none" w:sz="0" w:space="0" w:color="auto"/>
            <w:left w:val="none" w:sz="0" w:space="0" w:color="auto"/>
            <w:bottom w:val="none" w:sz="0" w:space="0" w:color="auto"/>
            <w:right w:val="none" w:sz="0" w:space="0" w:color="auto"/>
          </w:divBdr>
        </w:div>
        <w:div w:id="1092238785">
          <w:marLeft w:val="0"/>
          <w:marRight w:val="0"/>
          <w:marTop w:val="90"/>
          <w:marBottom w:val="0"/>
          <w:divBdr>
            <w:top w:val="none" w:sz="0" w:space="0" w:color="auto"/>
            <w:left w:val="none" w:sz="0" w:space="0" w:color="auto"/>
            <w:bottom w:val="none" w:sz="0" w:space="0" w:color="auto"/>
            <w:right w:val="none" w:sz="0" w:space="0" w:color="auto"/>
          </w:divBdr>
        </w:div>
      </w:divsChild>
    </w:div>
    <w:div w:id="1922985389">
      <w:bodyDiv w:val="1"/>
      <w:marLeft w:val="0"/>
      <w:marRight w:val="0"/>
      <w:marTop w:val="0"/>
      <w:marBottom w:val="0"/>
      <w:divBdr>
        <w:top w:val="none" w:sz="0" w:space="0" w:color="auto"/>
        <w:left w:val="none" w:sz="0" w:space="0" w:color="auto"/>
        <w:bottom w:val="none" w:sz="0" w:space="0" w:color="auto"/>
        <w:right w:val="none" w:sz="0" w:space="0" w:color="auto"/>
      </w:divBdr>
    </w:div>
    <w:div w:id="1946032263">
      <w:bodyDiv w:val="1"/>
      <w:marLeft w:val="0"/>
      <w:marRight w:val="0"/>
      <w:marTop w:val="0"/>
      <w:marBottom w:val="0"/>
      <w:divBdr>
        <w:top w:val="none" w:sz="0" w:space="0" w:color="auto"/>
        <w:left w:val="none" w:sz="0" w:space="0" w:color="auto"/>
        <w:bottom w:val="none" w:sz="0" w:space="0" w:color="auto"/>
        <w:right w:val="none" w:sz="0" w:space="0" w:color="auto"/>
      </w:divBdr>
    </w:div>
    <w:div w:id="1960795930">
      <w:bodyDiv w:val="1"/>
      <w:marLeft w:val="0"/>
      <w:marRight w:val="0"/>
      <w:marTop w:val="0"/>
      <w:marBottom w:val="0"/>
      <w:divBdr>
        <w:top w:val="none" w:sz="0" w:space="0" w:color="auto"/>
        <w:left w:val="none" w:sz="0" w:space="0" w:color="auto"/>
        <w:bottom w:val="none" w:sz="0" w:space="0" w:color="auto"/>
        <w:right w:val="none" w:sz="0" w:space="0" w:color="auto"/>
      </w:divBdr>
    </w:div>
    <w:div w:id="1979064542">
      <w:bodyDiv w:val="1"/>
      <w:marLeft w:val="0"/>
      <w:marRight w:val="0"/>
      <w:marTop w:val="0"/>
      <w:marBottom w:val="0"/>
      <w:divBdr>
        <w:top w:val="none" w:sz="0" w:space="0" w:color="auto"/>
        <w:left w:val="none" w:sz="0" w:space="0" w:color="auto"/>
        <w:bottom w:val="none" w:sz="0" w:space="0" w:color="auto"/>
        <w:right w:val="none" w:sz="0" w:space="0" w:color="auto"/>
      </w:divBdr>
    </w:div>
    <w:div w:id="2002463147">
      <w:bodyDiv w:val="1"/>
      <w:marLeft w:val="0"/>
      <w:marRight w:val="0"/>
      <w:marTop w:val="0"/>
      <w:marBottom w:val="0"/>
      <w:divBdr>
        <w:top w:val="none" w:sz="0" w:space="0" w:color="auto"/>
        <w:left w:val="none" w:sz="0" w:space="0" w:color="auto"/>
        <w:bottom w:val="none" w:sz="0" w:space="0" w:color="auto"/>
        <w:right w:val="none" w:sz="0" w:space="0" w:color="auto"/>
      </w:divBdr>
    </w:div>
    <w:div w:id="2051344192">
      <w:bodyDiv w:val="1"/>
      <w:marLeft w:val="0"/>
      <w:marRight w:val="0"/>
      <w:marTop w:val="0"/>
      <w:marBottom w:val="0"/>
      <w:divBdr>
        <w:top w:val="none" w:sz="0" w:space="0" w:color="auto"/>
        <w:left w:val="none" w:sz="0" w:space="0" w:color="auto"/>
        <w:bottom w:val="none" w:sz="0" w:space="0" w:color="auto"/>
        <w:right w:val="none" w:sz="0" w:space="0" w:color="auto"/>
      </w:divBdr>
    </w:div>
    <w:div w:id="2069841086">
      <w:bodyDiv w:val="1"/>
      <w:marLeft w:val="0"/>
      <w:marRight w:val="0"/>
      <w:marTop w:val="0"/>
      <w:marBottom w:val="0"/>
      <w:divBdr>
        <w:top w:val="none" w:sz="0" w:space="0" w:color="auto"/>
        <w:left w:val="none" w:sz="0" w:space="0" w:color="auto"/>
        <w:bottom w:val="none" w:sz="0" w:space="0" w:color="auto"/>
        <w:right w:val="none" w:sz="0" w:space="0" w:color="auto"/>
      </w:divBdr>
    </w:div>
    <w:div w:id="2077970357">
      <w:bodyDiv w:val="1"/>
      <w:marLeft w:val="0"/>
      <w:marRight w:val="0"/>
      <w:marTop w:val="0"/>
      <w:marBottom w:val="0"/>
      <w:divBdr>
        <w:top w:val="none" w:sz="0" w:space="0" w:color="auto"/>
        <w:left w:val="none" w:sz="0" w:space="0" w:color="auto"/>
        <w:bottom w:val="none" w:sz="0" w:space="0" w:color="auto"/>
        <w:right w:val="none" w:sz="0" w:space="0" w:color="auto"/>
      </w:divBdr>
    </w:div>
    <w:div w:id="2082482144">
      <w:bodyDiv w:val="1"/>
      <w:marLeft w:val="0"/>
      <w:marRight w:val="0"/>
      <w:marTop w:val="0"/>
      <w:marBottom w:val="0"/>
      <w:divBdr>
        <w:top w:val="none" w:sz="0" w:space="0" w:color="auto"/>
        <w:left w:val="none" w:sz="0" w:space="0" w:color="auto"/>
        <w:bottom w:val="none" w:sz="0" w:space="0" w:color="auto"/>
        <w:right w:val="none" w:sz="0" w:space="0" w:color="auto"/>
      </w:divBdr>
    </w:div>
    <w:div w:id="2124764833">
      <w:bodyDiv w:val="1"/>
      <w:marLeft w:val="0"/>
      <w:marRight w:val="0"/>
      <w:marTop w:val="0"/>
      <w:marBottom w:val="0"/>
      <w:divBdr>
        <w:top w:val="none" w:sz="0" w:space="0" w:color="auto"/>
        <w:left w:val="none" w:sz="0" w:space="0" w:color="auto"/>
        <w:bottom w:val="none" w:sz="0" w:space="0" w:color="auto"/>
        <w:right w:val="none" w:sz="0" w:space="0" w:color="auto"/>
      </w:divBdr>
    </w:div>
    <w:div w:id="21263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blog.landg.com/categories/esg-and-long-term-themes/antimicrobial-resistance-could-be-the-next-pandemic--heres-what-were-doing-about-it2/" TargetMode="External"/><Relationship Id="rId13" Type="http://schemas.openxmlformats.org/officeDocument/2006/relationships/hyperlink" Target="https://www.thebureauinvestigates.com/stories/2024-09-27/cargill-cows-contaminated-with-vital-antibiotics" TargetMode="External"/><Relationship Id="rId18" Type="http://schemas.openxmlformats.org/officeDocument/2006/relationships/hyperlink" Target="https://www.fda.gov/animal-veterinary/antimicrobial-resistance/2023-summary-report-antimicrobials-sold-or-distributed-use-food-producing-animals" TargetMode="External"/><Relationship Id="rId3" Type="http://schemas.openxmlformats.org/officeDocument/2006/relationships/hyperlink" Target="https://www.fairr.org/research/animal-pharma/" TargetMode="External"/><Relationship Id="rId21" Type="http://schemas.openxmlformats.org/officeDocument/2006/relationships/hyperlink" Target="https://doi.org/10.1038/s41467-025-56825-7" TargetMode="External"/><Relationship Id="rId7" Type="http://schemas.openxmlformats.org/officeDocument/2006/relationships/hyperlink" Target="https://amrinvestoraction.org/about" TargetMode="External"/><Relationship Id="rId12" Type="http://schemas.openxmlformats.org/officeDocument/2006/relationships/hyperlink" Target="https://www.theguardian.com/global/2022/nov/21/mcdonalds-and-walmart-beef-suppliers-put-public-health-at-risk-with-reckless-antibiotics-use" TargetMode="External"/><Relationship Id="rId17" Type="http://schemas.openxmlformats.org/officeDocument/2006/relationships/hyperlink" Target="https://www.meatpoultry.com/articles/27807-mcdonalds-updates-antibiotics-policy" TargetMode="External"/><Relationship Id="rId2" Type="http://schemas.openxmlformats.org/officeDocument/2006/relationships/hyperlink" Target="https://www.openaccessgovernment.org/removing-blindfold-antimicrobial-resistance/131783/" TargetMode="External"/><Relationship Id="rId16" Type="http://schemas.openxmlformats.org/officeDocument/2006/relationships/hyperlink" Target="https://www.nrdc.org/sites/default/files/chain-reaction-vi-restaurants-antibiotic-use-2021-report.pdf" TargetMode="External"/><Relationship Id="rId20" Type="http://schemas.openxmlformats.org/officeDocument/2006/relationships/hyperlink" Target="https://doi.org/10.1073/pnas.1503141112" TargetMode="External"/><Relationship Id="rId1" Type="http://schemas.openxmlformats.org/officeDocument/2006/relationships/hyperlink" Target="https://www.who.int/publications-detail-redirect/9789241550130" TargetMode="External"/><Relationship Id="rId6" Type="http://schemas.openxmlformats.org/officeDocument/2006/relationships/hyperlink" Target="https://www.unepfi.org/fileadmin/documents/universal_ownership_full.pdf" TargetMode="External"/><Relationship Id="rId11" Type="http://schemas.openxmlformats.org/officeDocument/2006/relationships/hyperlink" Target="https://www.mcdonalds.com/corpmcd/our-purpose-and-impact/food-quality-and-sourcing/responsible-antibiotic-use.html" TargetMode="External"/><Relationship Id="rId24" Type="http://schemas.openxmlformats.org/officeDocument/2006/relationships/hyperlink" Target="https://www.schroders.com/en-ch/ch/professional/insights/sustainex-quantifying-the-hidden-costs-of-companies-social-impacts/" TargetMode="External"/><Relationship Id="rId5" Type="http://schemas.openxmlformats.org/officeDocument/2006/relationships/hyperlink" Target="https://harvardpublichealth.org/were-already-ignoring-the-next-pandemic/" TargetMode="External"/><Relationship Id="rId15" Type="http://schemas.openxmlformats.org/officeDocument/2006/relationships/hyperlink" Target="https://corporate.mcdonalds.com/corpmcd/our-stories/article/beef_antibiotics.html" TargetMode="External"/><Relationship Id="rId23" Type="http://schemas.openxmlformats.org/officeDocument/2006/relationships/hyperlink" Target="https://archive.fortune.com/magazines/fortune/fortune_archive/2001/12/10/314691/index.htm" TargetMode="External"/><Relationship Id="rId10" Type="http://schemas.openxmlformats.org/officeDocument/2006/relationships/hyperlink" Target="https://www.sec.gov/ix?doc=/Archives/edgar/data/0000063908/000155837024004818/mcd-20240522xdef14a.htm" TargetMode="External"/><Relationship Id="rId19" Type="http://schemas.openxmlformats.org/officeDocument/2006/relationships/hyperlink" Target="https://doi.org/10.1371/journal.pgph.0001305" TargetMode="External"/><Relationship Id="rId4" Type="http://schemas.openxmlformats.org/officeDocument/2006/relationships/hyperlink" Target="https://theshareholdercommons.com/amr-climate-change-case-studies/" TargetMode="External"/><Relationship Id="rId9" Type="http://schemas.openxmlformats.org/officeDocument/2006/relationships/hyperlink" Target="https://iris.who.int/bitstream/handle/10665/259243/WHO-NMH-FOS-FZD-17.5-eng.pdf?sequence=1" TargetMode="External"/><Relationship Id="rId14" Type="http://schemas.openxmlformats.org/officeDocument/2006/relationships/hyperlink" Target="https://www.thebureauinvestigates.com/stories/2022-03-16/superbugs-on-the-shelves-diseased-chicken-being-sold-across-america" TargetMode="External"/><Relationship Id="rId22" Type="http://schemas.openxmlformats.org/officeDocument/2006/relationships/hyperlink" Target="https://documents1.worldbank.org/curated/en/323311493396993758/pdf/fin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82F2FB474A2489C3BE8F48CB99D2D" ma:contentTypeVersion="18" ma:contentTypeDescription="Create a new document." ma:contentTypeScope="" ma:versionID="b3ef04ad6f73ff4a5384586c2779eefc">
  <xsd:schema xmlns:xsd="http://www.w3.org/2001/XMLSchema" xmlns:xs="http://www.w3.org/2001/XMLSchema" xmlns:p="http://schemas.microsoft.com/office/2006/metadata/properties" xmlns:ns2="81bcf745-36d6-4f26-b83b-a443601feb6c" xmlns:ns3="ee877019-a197-4621-9038-97c04520bae1" targetNamespace="http://schemas.microsoft.com/office/2006/metadata/properties" ma:root="true" ma:fieldsID="75d41c35aac5502090ff4af46c15d369" ns2:_="" ns3:_="">
    <xsd:import namespace="81bcf745-36d6-4f26-b83b-a443601feb6c"/>
    <xsd:import namespace="ee877019-a197-4621-9038-97c04520ba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cf745-36d6-4f26-b83b-a443601fe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6e11e-a9cd-4c92-90b0-1c19699ea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7019-a197-4621-9038-97c04520b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310e2a-6e86-4c50-8751-12efabe1e307}" ma:internalName="TaxCatchAll" ma:showField="CatchAllData" ma:web="ee877019-a197-4621-9038-97c04520b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b:Source>
    <b:Tag>Luk21</b:Tag>
    <b:SourceType>Book</b:SourceType>
    <b:Guid>{5231149A-7242-3241-8F17-93AF7F57BF02}</b:Guid>
    <b:Author>
      <b:Author>
        <b:NameList>
          <b:Person>
            <b:Last>Lukomnik</b:Last>
            <b:First>Jon</b:First>
            <b:Middle>and James P. Hawley</b:Middle>
          </b:Person>
        </b:NameList>
      </b:Author>
    </b:Author>
    <b:Title>Moving Beyond Modern Portfolio Theory: Investing that Matters</b:Title>
    <b:Year>2021</b:Year>
    <b:Publisher>Routledge</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ee877019-a197-4621-9038-97c04520bae1" xsi:nil="true"/>
    <lcf76f155ced4ddcb4097134ff3c332f xmlns="81bcf745-36d6-4f26-b83b-a443601feb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96D30-EC64-4633-8C10-88CA16DD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cf745-36d6-4f26-b83b-a443601feb6c"/>
    <ds:schemaRef ds:uri="ee877019-a197-4621-9038-97c04520b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FE606-F494-40BE-914E-35D24EDAA64A}">
  <ds:schemaRefs>
    <ds:schemaRef ds:uri="http://schemas.openxmlformats.org/officeDocument/2006/bibliography"/>
  </ds:schemaRefs>
</ds:datastoreItem>
</file>

<file path=customXml/itemProps3.xml><?xml version="1.0" encoding="utf-8"?>
<ds:datastoreItem xmlns:ds="http://schemas.openxmlformats.org/officeDocument/2006/customXml" ds:itemID="{7B396968-6492-4485-B323-6AD2F27288CD}">
  <ds:schemaRefs>
    <ds:schemaRef ds:uri="http://schemas.microsoft.com/office/2006/metadata/properties"/>
    <ds:schemaRef ds:uri="http://schemas.microsoft.com/office/infopath/2007/PartnerControls"/>
    <ds:schemaRef ds:uri="ee877019-a197-4621-9038-97c04520bae1"/>
    <ds:schemaRef ds:uri="81bcf745-36d6-4f26-b83b-a443601feb6c"/>
  </ds:schemaRefs>
</ds:datastoreItem>
</file>

<file path=customXml/itemProps4.xml><?xml version="1.0" encoding="utf-8"?>
<ds:datastoreItem xmlns:ds="http://schemas.openxmlformats.org/officeDocument/2006/customXml" ds:itemID="{806E0CB6-9943-4C0A-A038-38227E104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3152</Words>
  <Characters>17970</Characters>
  <Application>Microsoft Office Word</Application>
  <DocSecurity>0</DocSecurity>
  <Lines>149</Lines>
  <Paragraphs>42</Paragraphs>
  <ScaleCrop>false</ScaleCrop>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 Murphy</dc:creator>
  <cp:keywords/>
  <dc:description/>
  <cp:lastModifiedBy>Sara E. Murphy</cp:lastModifiedBy>
  <cp:revision>19</cp:revision>
  <cp:lastPrinted>2022-03-03T17:08:00Z</cp:lastPrinted>
  <dcterms:created xsi:type="dcterms:W3CDTF">2025-04-16T16:33:00Z</dcterms:created>
  <dcterms:modified xsi:type="dcterms:W3CDTF">2025-04-16T17:21:00Z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0x0101009F282F2FB474A2489C3BE8F48CB99D2D</vt:lpwstr>
  </property>
  <property fmtid="{D5CDD505-2E9C-101B-9397-08002B2CF9AE}" pid="3" name="MediaServiceImageTags">
    <vt:lpwstr/>
  </property>
</Properties>
</file>