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9A22D" w14:textId="46112F25" w:rsidR="00941CC7" w:rsidRDefault="030E851E" w:rsidP="5AE2DBD3">
      <w:pPr>
        <w:spacing w:after="0" w:line="240" w:lineRule="auto"/>
        <w:jc w:val="center"/>
        <w:rPr>
          <w:rFonts w:ascii="Calibri" w:eastAsia="Calibri" w:hAnsi="Calibri" w:cs="Calibri"/>
          <w:color w:val="000000" w:themeColor="text1"/>
          <w:sz w:val="22"/>
          <w:szCs w:val="22"/>
        </w:rPr>
      </w:pPr>
      <w:r>
        <w:rPr>
          <w:noProof/>
        </w:rPr>
        <w:drawing>
          <wp:inline distT="0" distB="0" distL="0" distR="0" wp14:anchorId="5A2586B7" wp14:editId="4ACE3511">
            <wp:extent cx="4572000" cy="914400"/>
            <wp:effectExtent l="0" t="0" r="0" b="0"/>
            <wp:docPr id="884806807" name="Picture 884806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4572000" cy="914400"/>
                    </a:xfrm>
                    <a:prstGeom prst="rect">
                      <a:avLst/>
                    </a:prstGeom>
                  </pic:spPr>
                </pic:pic>
              </a:graphicData>
            </a:graphic>
          </wp:inline>
        </w:drawing>
      </w:r>
    </w:p>
    <w:p w14:paraId="4A2E98DC" w14:textId="05EBAEE8" w:rsidR="00941CC7" w:rsidRDefault="00941CC7" w:rsidP="5AE2DBD3">
      <w:pPr>
        <w:spacing w:after="0" w:line="240" w:lineRule="auto"/>
        <w:rPr>
          <w:rFonts w:ascii="Calibri" w:eastAsia="Calibri" w:hAnsi="Calibri" w:cs="Calibri"/>
          <w:color w:val="000000" w:themeColor="text1"/>
          <w:sz w:val="22"/>
          <w:szCs w:val="22"/>
        </w:rPr>
      </w:pPr>
    </w:p>
    <w:p w14:paraId="40E45D38" w14:textId="77777777" w:rsidR="00C236D3" w:rsidRDefault="00C666FB" w:rsidP="00C666FB">
      <w:pPr>
        <w:spacing w:after="0" w:line="240" w:lineRule="auto"/>
        <w:rPr>
          <w:rFonts w:ascii="Times New Roman" w:eastAsia="Times New Roman" w:hAnsi="Times New Roman" w:cs="Times New Roman"/>
          <w:color w:val="212121"/>
          <w:lang w:eastAsia="en-US"/>
        </w:rPr>
      </w:pPr>
      <w:r w:rsidRPr="00C666FB">
        <w:rPr>
          <w:rFonts w:ascii="Times New Roman" w:eastAsia="Times New Roman" w:hAnsi="Times New Roman" w:cs="Times New Roman"/>
          <w:b/>
          <w:bCs/>
          <w:color w:val="212121"/>
          <w:lang w:eastAsia="en-US"/>
        </w:rPr>
        <w:t>Notice of Exempt Solicitation Pursuant to Rule 14a-103</w:t>
      </w:r>
      <w:r w:rsidRPr="00C666FB">
        <w:rPr>
          <w:rFonts w:ascii="Times New Roman" w:eastAsia="Times New Roman" w:hAnsi="Times New Roman" w:cs="Times New Roman"/>
          <w:b/>
          <w:bCs/>
          <w:color w:val="212121"/>
          <w:lang w:eastAsia="en-US"/>
        </w:rPr>
        <w:br/>
      </w:r>
      <w:r w:rsidRPr="00C666FB">
        <w:rPr>
          <w:rFonts w:ascii="Times New Roman" w:eastAsia="Times New Roman" w:hAnsi="Times New Roman" w:cs="Times New Roman"/>
          <w:color w:val="212121"/>
          <w:lang w:eastAsia="en-US"/>
        </w:rPr>
        <w:t>Name of Registrant: Centene Corporation (CNC)</w:t>
      </w:r>
      <w:r w:rsidRPr="00C666FB">
        <w:rPr>
          <w:rFonts w:ascii="Times New Roman" w:eastAsia="Times New Roman" w:hAnsi="Times New Roman" w:cs="Times New Roman"/>
          <w:color w:val="212121"/>
          <w:lang w:eastAsia="en-US"/>
        </w:rPr>
        <w:br/>
        <w:t xml:space="preserve">Name of person relying on exemption: John </w:t>
      </w:r>
      <w:proofErr w:type="spellStart"/>
      <w:r w:rsidRPr="00C666FB">
        <w:rPr>
          <w:rFonts w:ascii="Times New Roman" w:eastAsia="Times New Roman" w:hAnsi="Times New Roman" w:cs="Times New Roman"/>
          <w:color w:val="212121"/>
          <w:lang w:eastAsia="en-US"/>
        </w:rPr>
        <w:t>Chevedden</w:t>
      </w:r>
      <w:proofErr w:type="spellEnd"/>
      <w:r w:rsidRPr="00C666FB">
        <w:rPr>
          <w:rFonts w:ascii="Times New Roman" w:eastAsia="Times New Roman" w:hAnsi="Times New Roman" w:cs="Times New Roman"/>
          <w:color w:val="212121"/>
          <w:lang w:eastAsia="en-US"/>
        </w:rPr>
        <w:t>, Centene Shareholder since 2019</w:t>
      </w:r>
      <w:r w:rsidRPr="00C666FB">
        <w:rPr>
          <w:rFonts w:ascii="Times New Roman" w:eastAsia="Times New Roman" w:hAnsi="Times New Roman" w:cs="Times New Roman"/>
          <w:color w:val="212121"/>
          <w:lang w:eastAsia="en-US"/>
        </w:rPr>
        <w:br/>
        <w:t>Address of persons relying on exemption: POB 2673, Redondo Beach, CA 90278</w:t>
      </w:r>
      <w:r w:rsidRPr="00C666FB">
        <w:rPr>
          <w:rFonts w:ascii="Times New Roman" w:eastAsia="Times New Roman" w:hAnsi="Times New Roman" w:cs="Times New Roman"/>
          <w:color w:val="212121"/>
          <w:lang w:eastAsia="en-US"/>
        </w:rPr>
        <w:br/>
      </w:r>
      <w:r w:rsidRPr="00C666FB">
        <w:rPr>
          <w:rFonts w:ascii="Times New Roman" w:eastAsia="Times New Roman" w:hAnsi="Times New Roman" w:cs="Times New Roman"/>
          <w:color w:val="212121"/>
          <w:lang w:eastAsia="en-US"/>
        </w:rPr>
        <w:br/>
        <w:t xml:space="preserve">These written materials are submitted pursuant to Rule 14a-6(g)(1) promulgated under the Securities Exchange Act of 1934. John </w:t>
      </w:r>
      <w:proofErr w:type="spellStart"/>
      <w:r w:rsidRPr="00C666FB">
        <w:rPr>
          <w:rFonts w:ascii="Times New Roman" w:eastAsia="Times New Roman" w:hAnsi="Times New Roman" w:cs="Times New Roman"/>
          <w:color w:val="212121"/>
          <w:lang w:eastAsia="en-US"/>
        </w:rPr>
        <w:t>Chevedden</w:t>
      </w:r>
      <w:proofErr w:type="spellEnd"/>
      <w:r w:rsidRPr="00C666FB">
        <w:rPr>
          <w:rFonts w:ascii="Times New Roman" w:eastAsia="Times New Roman" w:hAnsi="Times New Roman" w:cs="Times New Roman"/>
          <w:color w:val="212121"/>
          <w:lang w:eastAsia="en-US"/>
        </w:rPr>
        <w:t xml:space="preserve"> does not beneficially own more than $5 million of the class of subject securities, and this notice of exempt solicitation is therefore being provided on a voluntary basis.</w:t>
      </w:r>
      <w:r w:rsidRPr="00C666FB">
        <w:rPr>
          <w:rFonts w:ascii="Times New Roman" w:eastAsia="Times New Roman" w:hAnsi="Times New Roman" w:cs="Times New Roman"/>
          <w:color w:val="212121"/>
          <w:lang w:eastAsia="en-US"/>
        </w:rPr>
        <w:br/>
        <w:t> </w:t>
      </w:r>
      <w:r w:rsidRPr="00C666FB">
        <w:rPr>
          <w:rFonts w:ascii="Times New Roman" w:eastAsia="Times New Roman" w:hAnsi="Times New Roman" w:cs="Times New Roman"/>
          <w:color w:val="212121"/>
          <w:lang w:eastAsia="en-US"/>
        </w:rPr>
        <w:br/>
        <w:t>This is not a solicitation of authority to vote your proxy.</w:t>
      </w:r>
    </w:p>
    <w:p w14:paraId="1E22FF28" w14:textId="0EA73D39" w:rsidR="00C666FB" w:rsidRPr="00C666FB" w:rsidRDefault="00C666FB" w:rsidP="00C666FB">
      <w:pPr>
        <w:spacing w:after="0" w:line="240" w:lineRule="auto"/>
        <w:rPr>
          <w:rFonts w:ascii="Times New Roman" w:eastAsia="Times New Roman" w:hAnsi="Times New Roman" w:cs="Times New Roman"/>
          <w:color w:val="212121"/>
          <w:lang w:eastAsia="en-US"/>
        </w:rPr>
      </w:pPr>
      <w:r w:rsidRPr="00C666FB">
        <w:rPr>
          <w:rFonts w:ascii="Times New Roman" w:eastAsia="Times New Roman" w:hAnsi="Times New Roman" w:cs="Times New Roman"/>
          <w:color w:val="212121"/>
          <w:lang w:eastAsia="en-US"/>
        </w:rPr>
        <w:br/>
        <w:t>Please DO NOT send me your proxy card; the shareholder is not able to vote your proxies, nor does this communication contemplate such an event.  </w:t>
      </w:r>
      <w:r w:rsidRPr="00C666FB">
        <w:rPr>
          <w:rFonts w:ascii="Times New Roman" w:eastAsia="Times New Roman" w:hAnsi="Times New Roman" w:cs="Times New Roman"/>
          <w:color w:val="212121"/>
          <w:lang w:eastAsia="en-US"/>
        </w:rPr>
        <w:br/>
      </w:r>
      <w:r w:rsidRPr="00C666FB">
        <w:rPr>
          <w:rFonts w:ascii="Times New Roman" w:eastAsia="Times New Roman" w:hAnsi="Times New Roman" w:cs="Times New Roman"/>
          <w:color w:val="212121"/>
          <w:lang w:eastAsia="en-US"/>
        </w:rPr>
        <w:br/>
        <w:t>The shareholder asks all shareholders to vote by following the procedural instructions provided in the proxy materials. </w:t>
      </w:r>
    </w:p>
    <w:p w14:paraId="3FA37095" w14:textId="77777777" w:rsidR="00C666FB" w:rsidRPr="00C666FB" w:rsidRDefault="00C666FB" w:rsidP="00C666FB">
      <w:pPr>
        <w:spacing w:after="0" w:line="240" w:lineRule="auto"/>
        <w:rPr>
          <w:rFonts w:ascii="Times New Roman" w:eastAsia="Times New Roman" w:hAnsi="Times New Roman" w:cs="Times New Roman"/>
          <w:lang w:eastAsia="en-US"/>
        </w:rPr>
      </w:pPr>
    </w:p>
    <w:p w14:paraId="3CFE61E1" w14:textId="52DDB2D9" w:rsidR="00941CC7" w:rsidRPr="00C236D3" w:rsidRDefault="030E851E" w:rsidP="5AE2DBD3">
      <w:pPr>
        <w:spacing w:after="0" w:line="240" w:lineRule="auto"/>
        <w:rPr>
          <w:rFonts w:ascii="Times New Roman" w:eastAsia="Calibri" w:hAnsi="Times New Roman" w:cs="Times New Roman"/>
          <w:b/>
          <w:bCs/>
          <w:color w:val="000000" w:themeColor="text1"/>
          <w:lang w:val="en"/>
        </w:rPr>
      </w:pPr>
      <w:r w:rsidRPr="00C236D3">
        <w:rPr>
          <w:rFonts w:ascii="Times New Roman" w:hAnsi="Times New Roman" w:cs="Times New Roman"/>
        </w:rPr>
        <w:br/>
      </w:r>
      <w:r w:rsidR="5BC6C346" w:rsidRPr="00C236D3">
        <w:rPr>
          <w:rFonts w:ascii="Times New Roman" w:eastAsia="Calibri" w:hAnsi="Times New Roman" w:cs="Times New Roman"/>
          <w:b/>
          <w:bCs/>
          <w:color w:val="000000" w:themeColor="text1"/>
          <w:lang w:val="en"/>
        </w:rPr>
        <w:t>Please Support Item #</w:t>
      </w:r>
      <w:r w:rsidR="244D87F9" w:rsidRPr="00C236D3">
        <w:rPr>
          <w:rFonts w:ascii="Times New Roman" w:eastAsia="Calibri" w:hAnsi="Times New Roman" w:cs="Times New Roman"/>
          <w:b/>
          <w:bCs/>
          <w:color w:val="000000" w:themeColor="text1"/>
          <w:lang w:val="en"/>
        </w:rPr>
        <w:t xml:space="preserve">5 </w:t>
      </w:r>
      <w:r w:rsidR="1D6BB756" w:rsidRPr="00C236D3">
        <w:rPr>
          <w:rFonts w:ascii="Times New Roman" w:eastAsia="Calibri" w:hAnsi="Times New Roman" w:cs="Times New Roman"/>
          <w:b/>
          <w:bCs/>
          <w:color w:val="000000" w:themeColor="text1"/>
          <w:lang w:val="en"/>
        </w:rPr>
        <w:t>to Disclose Plan to Reduce Total Contribution to Climate Change</w:t>
      </w:r>
    </w:p>
    <w:p w14:paraId="2C2EE4F5" w14:textId="5D4E7B22" w:rsidR="5AE2DBD3" w:rsidRPr="00C236D3" w:rsidRDefault="5AE2DBD3" w:rsidP="5AE2DBD3">
      <w:pPr>
        <w:spacing w:after="0" w:line="240" w:lineRule="auto"/>
        <w:rPr>
          <w:rFonts w:ascii="Times New Roman" w:eastAsia="Calibri" w:hAnsi="Times New Roman" w:cs="Times New Roman"/>
          <w:color w:val="000000" w:themeColor="text1"/>
          <w:lang w:val="en"/>
        </w:rPr>
      </w:pPr>
    </w:p>
    <w:p w14:paraId="4DE9CACA" w14:textId="464107E3" w:rsidR="030E851E" w:rsidRPr="00C236D3" w:rsidRDefault="5BC6C346" w:rsidP="5AE2DBD3">
      <w:pPr>
        <w:spacing w:after="0" w:line="240" w:lineRule="auto"/>
        <w:rPr>
          <w:rFonts w:ascii="Times New Roman" w:eastAsia="Calibri" w:hAnsi="Times New Roman" w:cs="Times New Roman"/>
          <w:color w:val="000000" w:themeColor="text1"/>
          <w:lang w:val="en"/>
        </w:rPr>
      </w:pPr>
      <w:r w:rsidRPr="00C236D3">
        <w:rPr>
          <w:rFonts w:ascii="Times New Roman" w:eastAsia="Calibri" w:hAnsi="Times New Roman" w:cs="Times New Roman"/>
          <w:color w:val="000000" w:themeColor="text1"/>
          <w:lang w:val="en"/>
        </w:rPr>
        <w:t>To Centene Shareholders:</w:t>
      </w:r>
      <w:r w:rsidR="030E851E" w:rsidRPr="00C236D3">
        <w:rPr>
          <w:rFonts w:ascii="Times New Roman" w:hAnsi="Times New Roman" w:cs="Times New Roman"/>
        </w:rPr>
        <w:br/>
      </w:r>
      <w:r w:rsidR="030E851E" w:rsidRPr="00C236D3">
        <w:rPr>
          <w:rFonts w:ascii="Times New Roman" w:hAnsi="Times New Roman" w:cs="Times New Roman"/>
        </w:rPr>
        <w:br/>
      </w:r>
      <w:r w:rsidRPr="00C236D3">
        <w:rPr>
          <w:rFonts w:ascii="Times New Roman" w:eastAsia="Calibri" w:hAnsi="Times New Roman" w:cs="Times New Roman"/>
          <w:color w:val="000000" w:themeColor="text1"/>
          <w:lang w:val="en"/>
        </w:rPr>
        <w:t>I ask shareholders to vote FOR Item</w:t>
      </w:r>
      <w:r w:rsidR="6E0F129C" w:rsidRPr="00C236D3">
        <w:rPr>
          <w:rFonts w:ascii="Times New Roman" w:eastAsia="Calibri" w:hAnsi="Times New Roman" w:cs="Times New Roman"/>
          <w:color w:val="000000" w:themeColor="text1"/>
          <w:lang w:val="en"/>
        </w:rPr>
        <w:t xml:space="preserve"> 5 </w:t>
      </w:r>
      <w:r w:rsidRPr="00C236D3">
        <w:rPr>
          <w:rFonts w:ascii="Times New Roman" w:eastAsia="Calibri" w:hAnsi="Times New Roman" w:cs="Times New Roman"/>
          <w:color w:val="000000" w:themeColor="text1"/>
          <w:lang w:val="en"/>
        </w:rPr>
        <w:t>at the Centene shareholder meeting on</w:t>
      </w:r>
      <w:r w:rsidR="0AE3157E" w:rsidRPr="00C236D3">
        <w:rPr>
          <w:rFonts w:ascii="Times New Roman" w:eastAsia="Calibri" w:hAnsi="Times New Roman" w:cs="Times New Roman"/>
          <w:color w:val="000000" w:themeColor="text1"/>
          <w:lang w:val="en"/>
        </w:rPr>
        <w:t xml:space="preserve"> May 13, 2025. </w:t>
      </w:r>
      <w:r w:rsidRPr="00C236D3">
        <w:rPr>
          <w:rFonts w:ascii="Times New Roman" w:eastAsia="Calibri" w:hAnsi="Times New Roman" w:cs="Times New Roman"/>
          <w:color w:val="000000" w:themeColor="text1"/>
          <w:lang w:val="en"/>
        </w:rPr>
        <w:t xml:space="preserve">The proposal asks Centene (“the Company”) to </w:t>
      </w:r>
      <w:r w:rsidR="717E74C8" w:rsidRPr="00C236D3">
        <w:rPr>
          <w:rFonts w:ascii="Times New Roman" w:eastAsia="Calibri" w:hAnsi="Times New Roman" w:cs="Times New Roman"/>
          <w:color w:val="000000" w:themeColor="text1"/>
          <w:lang w:val="en"/>
        </w:rPr>
        <w:t xml:space="preserve">disclose a </w:t>
      </w:r>
      <w:r w:rsidR="485D33AF" w:rsidRPr="00C236D3">
        <w:rPr>
          <w:rFonts w:ascii="Times New Roman" w:eastAsia="Calibri" w:hAnsi="Times New Roman" w:cs="Times New Roman"/>
          <w:color w:val="000000" w:themeColor="text1"/>
          <w:lang w:val="en"/>
        </w:rPr>
        <w:t>report on its plans for reducing its contribution to climate change</w:t>
      </w:r>
      <w:r w:rsidR="43A94ABD" w:rsidRPr="00C236D3">
        <w:rPr>
          <w:rFonts w:ascii="Times New Roman" w:eastAsia="Calibri" w:hAnsi="Times New Roman" w:cs="Times New Roman"/>
          <w:color w:val="000000" w:themeColor="text1"/>
          <w:lang w:val="en"/>
        </w:rPr>
        <w:t>:</w:t>
      </w:r>
    </w:p>
    <w:p w14:paraId="57F067B8" w14:textId="1079916B" w:rsidR="5AE2DBD3" w:rsidRPr="00C236D3" w:rsidRDefault="5AE2DBD3" w:rsidP="5AE2DBD3">
      <w:pPr>
        <w:spacing w:after="0" w:line="240" w:lineRule="auto"/>
        <w:rPr>
          <w:rFonts w:ascii="Times New Roman" w:eastAsia="Calibri" w:hAnsi="Times New Roman" w:cs="Times New Roman"/>
          <w:color w:val="000000" w:themeColor="text1"/>
          <w:lang w:val="en"/>
        </w:rPr>
      </w:pPr>
    </w:p>
    <w:p w14:paraId="55C2585D" w14:textId="153B6D57" w:rsidR="3B96BF36" w:rsidRPr="00C236D3" w:rsidRDefault="3B96BF36" w:rsidP="00A73DDE">
      <w:pPr>
        <w:shd w:val="clear" w:color="auto" w:fill="FFFFFF" w:themeFill="background1"/>
        <w:spacing w:after="0" w:line="240" w:lineRule="auto"/>
        <w:rPr>
          <w:rFonts w:ascii="Times New Roman" w:eastAsia="Calibri" w:hAnsi="Times New Roman" w:cs="Times New Roman"/>
          <w:color w:val="000000" w:themeColor="text1"/>
        </w:rPr>
      </w:pPr>
      <w:r w:rsidRPr="00C236D3">
        <w:rPr>
          <w:rFonts w:ascii="Times New Roman" w:eastAsia="Calibri" w:hAnsi="Times New Roman" w:cs="Times New Roman"/>
          <w:color w:val="000000" w:themeColor="text1"/>
        </w:rPr>
        <w:t>RESOLVED: Shareholders request that Centene issue a report (at reasonable cost, omitting proprietary information) describing if, and how, it plans to reduce its total contribution to climate change and align its operations and investments with the Paris Agreement’s ambition of limiting global temperature rise.</w:t>
      </w:r>
    </w:p>
    <w:p w14:paraId="6CF72561" w14:textId="4D5DA26A" w:rsidR="5AE2DBD3" w:rsidRPr="00C236D3" w:rsidRDefault="5AE2DBD3" w:rsidP="5AE2DBD3">
      <w:pPr>
        <w:shd w:val="clear" w:color="auto" w:fill="FFFFFF" w:themeFill="background1"/>
        <w:spacing w:after="0" w:line="240" w:lineRule="auto"/>
        <w:rPr>
          <w:rFonts w:ascii="Times New Roman" w:eastAsia="Calibri" w:hAnsi="Times New Roman" w:cs="Times New Roman"/>
          <w:color w:val="000000" w:themeColor="text1"/>
        </w:rPr>
      </w:pPr>
    </w:p>
    <w:p w14:paraId="660ABF7F" w14:textId="31D6454A" w:rsidR="3B96BF36" w:rsidRPr="00C236D3" w:rsidRDefault="3B96BF36" w:rsidP="00A73DDE">
      <w:pPr>
        <w:spacing w:line="240" w:lineRule="auto"/>
        <w:rPr>
          <w:rFonts w:ascii="Times New Roman" w:eastAsia="Calibri" w:hAnsi="Times New Roman" w:cs="Times New Roman"/>
          <w:color w:val="000000" w:themeColor="text1"/>
        </w:rPr>
      </w:pPr>
      <w:r w:rsidRPr="00C236D3">
        <w:rPr>
          <w:rFonts w:ascii="Times New Roman" w:eastAsia="Calibri" w:hAnsi="Times New Roman" w:cs="Times New Roman"/>
          <w:color w:val="000000" w:themeColor="text1"/>
        </w:rPr>
        <w:t xml:space="preserve">SUPPORTING STATEMENT: In the report shareholders seek information, at board and management discretion, on the relative benefits and drawbacks of integrating the following actions:  </w:t>
      </w:r>
    </w:p>
    <w:p w14:paraId="5F653330" w14:textId="36A879EE" w:rsidR="3B96BF36" w:rsidRPr="00C236D3" w:rsidRDefault="3B96BF36" w:rsidP="5AE2DBD3">
      <w:pPr>
        <w:pStyle w:val="ListParagraph"/>
        <w:numPr>
          <w:ilvl w:val="0"/>
          <w:numId w:val="1"/>
        </w:numPr>
        <w:spacing w:line="240" w:lineRule="auto"/>
        <w:rPr>
          <w:rFonts w:ascii="Times New Roman" w:eastAsia="Calibri" w:hAnsi="Times New Roman" w:cs="Times New Roman"/>
          <w:color w:val="000000" w:themeColor="text1"/>
        </w:rPr>
      </w:pPr>
      <w:r w:rsidRPr="00C236D3">
        <w:rPr>
          <w:rFonts w:ascii="Times New Roman" w:eastAsia="Calibri" w:hAnsi="Times New Roman" w:cs="Times New Roman"/>
          <w:color w:val="000000" w:themeColor="text1"/>
        </w:rPr>
        <w:t xml:space="preserve">Adopting science-based GHG emission reduction targets for the Company's full range of operational and value chain emissions, taking into consideration criteria used by advisory groups like the Science Based Targets </w:t>
      </w:r>
      <w:proofErr w:type="gramStart"/>
      <w:r w:rsidRPr="00C236D3">
        <w:rPr>
          <w:rFonts w:ascii="Times New Roman" w:eastAsia="Calibri" w:hAnsi="Times New Roman" w:cs="Times New Roman"/>
          <w:color w:val="000000" w:themeColor="text1"/>
        </w:rPr>
        <w:t>initiative;</w:t>
      </w:r>
      <w:proofErr w:type="gramEnd"/>
      <w:r w:rsidRPr="00C236D3">
        <w:rPr>
          <w:rFonts w:ascii="Times New Roman" w:eastAsia="Calibri" w:hAnsi="Times New Roman" w:cs="Times New Roman"/>
          <w:color w:val="000000" w:themeColor="text1"/>
        </w:rPr>
        <w:t xml:space="preserve"> </w:t>
      </w:r>
    </w:p>
    <w:p w14:paraId="41CAAED0" w14:textId="195B74CC" w:rsidR="3B96BF36" w:rsidRPr="00C236D3" w:rsidRDefault="3B96BF36" w:rsidP="5AE2DBD3">
      <w:pPr>
        <w:pStyle w:val="ListParagraph"/>
        <w:numPr>
          <w:ilvl w:val="0"/>
          <w:numId w:val="1"/>
        </w:numPr>
        <w:spacing w:line="240" w:lineRule="auto"/>
        <w:rPr>
          <w:rFonts w:ascii="Times New Roman" w:eastAsia="Calibri" w:hAnsi="Times New Roman" w:cs="Times New Roman"/>
          <w:color w:val="000000" w:themeColor="text1"/>
        </w:rPr>
      </w:pPr>
      <w:r w:rsidRPr="00C236D3">
        <w:rPr>
          <w:rFonts w:ascii="Times New Roman" w:eastAsia="Calibri" w:hAnsi="Times New Roman" w:cs="Times New Roman"/>
          <w:color w:val="000000" w:themeColor="text1"/>
        </w:rPr>
        <w:t xml:space="preserve">Developing a transition plan that shows how the Company plans to meet its goals, taking into consideration criteria used by advisory groups such as the Transition Plan Taskforce, </w:t>
      </w:r>
      <w:r w:rsidRPr="00C236D3">
        <w:rPr>
          <w:rFonts w:ascii="Times New Roman" w:eastAsia="Calibri" w:hAnsi="Times New Roman" w:cs="Times New Roman"/>
          <w:color w:val="000000" w:themeColor="text1"/>
        </w:rPr>
        <w:lastRenderedPageBreak/>
        <w:t>Task Force for Climate-Related Financial Disclosures, CDP, Climate Action 100+, and Ceres; and</w:t>
      </w:r>
    </w:p>
    <w:p w14:paraId="00EE9EFB" w14:textId="1125B019" w:rsidR="3B96BF36" w:rsidRPr="00C236D3" w:rsidRDefault="3B96BF36" w:rsidP="5AE2DBD3">
      <w:pPr>
        <w:pStyle w:val="ListParagraph"/>
        <w:numPr>
          <w:ilvl w:val="0"/>
          <w:numId w:val="1"/>
        </w:numPr>
        <w:spacing w:line="240" w:lineRule="auto"/>
        <w:rPr>
          <w:rFonts w:ascii="Times New Roman" w:eastAsia="Calibri" w:hAnsi="Times New Roman" w:cs="Times New Roman"/>
          <w:color w:val="000000" w:themeColor="text1"/>
        </w:rPr>
      </w:pPr>
      <w:r w:rsidRPr="00C236D3">
        <w:rPr>
          <w:rFonts w:ascii="Times New Roman" w:eastAsia="Calibri" w:hAnsi="Times New Roman" w:cs="Times New Roman"/>
          <w:color w:val="000000" w:themeColor="text1"/>
        </w:rPr>
        <w:t>Adopting supporting targets for renewable energy, energy efficiency, supply chain engagement, or other measures deemed appropriate by management.</w:t>
      </w:r>
    </w:p>
    <w:p w14:paraId="0196BEAF" w14:textId="50C122D1" w:rsidR="5AE2DBD3" w:rsidRPr="00C236D3" w:rsidRDefault="5AE2DBD3" w:rsidP="5AE2DBD3">
      <w:pPr>
        <w:spacing w:after="0" w:line="240" w:lineRule="auto"/>
        <w:rPr>
          <w:rFonts w:ascii="Times New Roman" w:eastAsia="Calibri" w:hAnsi="Times New Roman" w:cs="Times New Roman"/>
          <w:color w:val="000000" w:themeColor="text1"/>
          <w:lang w:val="en"/>
        </w:rPr>
      </w:pPr>
    </w:p>
    <w:p w14:paraId="50DF1950" w14:textId="3AA51820" w:rsidR="03F8FE5D" w:rsidRPr="00C236D3" w:rsidRDefault="03F8FE5D" w:rsidP="5AE2DBD3">
      <w:pPr>
        <w:pStyle w:val="ListParagraph"/>
        <w:numPr>
          <w:ilvl w:val="0"/>
          <w:numId w:val="2"/>
        </w:numPr>
        <w:spacing w:after="0" w:line="240" w:lineRule="auto"/>
        <w:rPr>
          <w:rFonts w:ascii="Times New Roman" w:eastAsia="Calibri" w:hAnsi="Times New Roman" w:cs="Times New Roman"/>
          <w:b/>
          <w:bCs/>
          <w:color w:val="000000" w:themeColor="text1"/>
        </w:rPr>
      </w:pPr>
      <w:r w:rsidRPr="00C236D3">
        <w:rPr>
          <w:rFonts w:ascii="Times New Roman" w:eastAsia="Calibri" w:hAnsi="Times New Roman" w:cs="Times New Roman"/>
          <w:b/>
          <w:bCs/>
          <w:color w:val="000000" w:themeColor="text1"/>
        </w:rPr>
        <w:t xml:space="preserve">Centene acknowledges that climate change poses </w:t>
      </w:r>
      <w:r w:rsidR="2298337E" w:rsidRPr="00C236D3">
        <w:rPr>
          <w:rFonts w:ascii="Times New Roman" w:eastAsia="Calibri" w:hAnsi="Times New Roman" w:cs="Times New Roman"/>
          <w:b/>
          <w:bCs/>
          <w:color w:val="000000" w:themeColor="text1"/>
        </w:rPr>
        <w:t xml:space="preserve">risks </w:t>
      </w:r>
      <w:r w:rsidRPr="00C236D3">
        <w:rPr>
          <w:rFonts w:ascii="Times New Roman" w:eastAsia="Calibri" w:hAnsi="Times New Roman" w:cs="Times New Roman"/>
          <w:b/>
          <w:bCs/>
          <w:color w:val="000000" w:themeColor="text1"/>
        </w:rPr>
        <w:t>to its business.</w:t>
      </w:r>
    </w:p>
    <w:p w14:paraId="59484ED2" w14:textId="3F812FE6" w:rsidR="5AE2DBD3" w:rsidRPr="00C236D3" w:rsidRDefault="5AE2DBD3" w:rsidP="5AE2DBD3">
      <w:pPr>
        <w:spacing w:after="0" w:line="240" w:lineRule="auto"/>
        <w:rPr>
          <w:rFonts w:ascii="Times New Roman" w:eastAsia="Calibri" w:hAnsi="Times New Roman" w:cs="Times New Roman"/>
          <w:color w:val="000000" w:themeColor="text1"/>
        </w:rPr>
      </w:pPr>
    </w:p>
    <w:p w14:paraId="15503DC3" w14:textId="5832F61C" w:rsidR="030E851E" w:rsidRPr="00C236D3" w:rsidRDefault="030E851E" w:rsidP="5AE2DBD3">
      <w:pPr>
        <w:spacing w:after="0" w:line="240" w:lineRule="auto"/>
        <w:rPr>
          <w:rFonts w:ascii="Times New Roman" w:eastAsia="Calibri" w:hAnsi="Times New Roman" w:cs="Times New Roman"/>
        </w:rPr>
      </w:pPr>
      <w:proofErr w:type="gramStart"/>
      <w:r w:rsidRPr="00C236D3">
        <w:rPr>
          <w:rFonts w:ascii="Times New Roman" w:eastAsia="Calibri" w:hAnsi="Times New Roman" w:cs="Times New Roman"/>
          <w:color w:val="000000" w:themeColor="text1"/>
        </w:rPr>
        <w:t>In order to</w:t>
      </w:r>
      <w:proofErr w:type="gramEnd"/>
      <w:r w:rsidRPr="00C236D3">
        <w:rPr>
          <w:rFonts w:ascii="Times New Roman" w:eastAsia="Calibri" w:hAnsi="Times New Roman" w:cs="Times New Roman"/>
          <w:color w:val="000000" w:themeColor="text1"/>
        </w:rPr>
        <w:t xml:space="preserve"> limit warming to 1.5</w:t>
      </w:r>
      <w:r w:rsidR="4D717526" w:rsidRPr="00C236D3">
        <w:rPr>
          <w:rFonts w:ascii="Times New Roman" w:eastAsia="Calibri" w:hAnsi="Times New Roman" w:cs="Times New Roman"/>
          <w:color w:val="000000" w:themeColor="text1"/>
        </w:rPr>
        <w:t xml:space="preserve"> </w:t>
      </w:r>
      <w:r w:rsidRPr="00C236D3">
        <w:rPr>
          <w:rFonts w:ascii="Times New Roman" w:eastAsia="Calibri" w:hAnsi="Times New Roman" w:cs="Times New Roman"/>
          <w:color w:val="000000" w:themeColor="text1"/>
        </w:rPr>
        <w:t xml:space="preserve">°C and prevent the worst impacts of climate change, emissions must be cut in half by 2030 and reach net zero by 2050. </w:t>
      </w:r>
      <w:r w:rsidR="5B72A301" w:rsidRPr="00C236D3">
        <w:rPr>
          <w:rFonts w:ascii="Times New Roman" w:eastAsia="Calibri" w:hAnsi="Times New Roman" w:cs="Times New Roman"/>
          <w:color w:val="000000" w:themeColor="text1"/>
        </w:rPr>
        <w:t xml:space="preserve">Rising temperatures </w:t>
      </w:r>
      <w:r w:rsidR="6E1E8677" w:rsidRPr="00C236D3">
        <w:rPr>
          <w:rFonts w:ascii="Times New Roman" w:eastAsia="Calibri" w:hAnsi="Times New Roman" w:cs="Times New Roman"/>
          <w:color w:val="000000" w:themeColor="text1"/>
        </w:rPr>
        <w:t xml:space="preserve">associated with climate change </w:t>
      </w:r>
      <w:r w:rsidR="5B72A301" w:rsidRPr="00C236D3">
        <w:rPr>
          <w:rFonts w:ascii="Times New Roman" w:eastAsia="Calibri" w:hAnsi="Times New Roman" w:cs="Times New Roman"/>
          <w:color w:val="000000" w:themeColor="text1"/>
        </w:rPr>
        <w:t xml:space="preserve">not only increase the frequency of extreme weather events, which </w:t>
      </w:r>
      <w:r w:rsidR="002537F5" w:rsidRPr="00C236D3">
        <w:rPr>
          <w:rFonts w:ascii="Times New Roman" w:eastAsia="Calibri" w:hAnsi="Times New Roman" w:cs="Times New Roman"/>
          <w:color w:val="000000" w:themeColor="text1"/>
        </w:rPr>
        <w:t>may pose</w:t>
      </w:r>
      <w:r w:rsidR="5B72A301" w:rsidRPr="00C236D3">
        <w:rPr>
          <w:rFonts w:ascii="Times New Roman" w:eastAsia="Calibri" w:hAnsi="Times New Roman" w:cs="Times New Roman"/>
          <w:color w:val="000000" w:themeColor="text1"/>
        </w:rPr>
        <w:t xml:space="preserve"> physical risks to Centene’s</w:t>
      </w:r>
      <w:r w:rsidR="57728714" w:rsidRPr="00C236D3">
        <w:rPr>
          <w:rFonts w:ascii="Times New Roman" w:eastAsia="Calibri" w:hAnsi="Times New Roman" w:cs="Times New Roman"/>
          <w:color w:val="000000" w:themeColor="text1"/>
        </w:rPr>
        <w:t xml:space="preserve"> </w:t>
      </w:r>
      <w:r w:rsidR="5B72A301" w:rsidRPr="00C236D3">
        <w:rPr>
          <w:rFonts w:ascii="Times New Roman" w:eastAsia="Calibri" w:hAnsi="Times New Roman" w:cs="Times New Roman"/>
          <w:color w:val="000000" w:themeColor="text1"/>
        </w:rPr>
        <w:t>operations, but also exacerbate health hazards by worsening air quality,</w:t>
      </w:r>
      <w:r w:rsidRPr="00C236D3">
        <w:rPr>
          <w:rStyle w:val="FootnoteReference"/>
          <w:rFonts w:ascii="Times New Roman" w:eastAsia="Calibri" w:hAnsi="Times New Roman" w:cs="Times New Roman"/>
          <w:color w:val="000000" w:themeColor="text1"/>
        </w:rPr>
        <w:footnoteReference w:id="2"/>
      </w:r>
      <w:r w:rsidR="5B72A301" w:rsidRPr="00C236D3">
        <w:rPr>
          <w:rFonts w:ascii="Times New Roman" w:eastAsia="Calibri" w:hAnsi="Times New Roman" w:cs="Times New Roman"/>
          <w:color w:val="000000" w:themeColor="text1"/>
        </w:rPr>
        <w:t xml:space="preserve"> augmenting heat-related illnesses,</w:t>
      </w:r>
      <w:r w:rsidRPr="00C236D3">
        <w:rPr>
          <w:rStyle w:val="FootnoteReference"/>
          <w:rFonts w:ascii="Times New Roman" w:eastAsia="Calibri" w:hAnsi="Times New Roman" w:cs="Times New Roman"/>
          <w:color w:val="000000" w:themeColor="text1"/>
        </w:rPr>
        <w:footnoteReference w:id="3"/>
      </w:r>
      <w:r w:rsidR="5B72A301" w:rsidRPr="00C236D3">
        <w:rPr>
          <w:rFonts w:ascii="Times New Roman" w:eastAsia="Calibri" w:hAnsi="Times New Roman" w:cs="Times New Roman"/>
          <w:color w:val="000000" w:themeColor="text1"/>
        </w:rPr>
        <w:t xml:space="preserve"> and spreading vector-borne diseases.</w:t>
      </w:r>
      <w:r w:rsidRPr="00C236D3">
        <w:rPr>
          <w:rStyle w:val="FootnoteReference"/>
          <w:rFonts w:ascii="Times New Roman" w:eastAsia="Calibri" w:hAnsi="Times New Roman" w:cs="Times New Roman"/>
          <w:color w:val="000000" w:themeColor="text1"/>
        </w:rPr>
        <w:footnoteReference w:id="4"/>
      </w:r>
      <w:r w:rsidR="5B72A301" w:rsidRPr="00C236D3">
        <w:rPr>
          <w:rFonts w:ascii="Times New Roman" w:eastAsia="Calibri" w:hAnsi="Times New Roman" w:cs="Times New Roman"/>
          <w:color w:val="000000" w:themeColor="text1"/>
        </w:rPr>
        <w:t xml:space="preserve"> Centene has analyzed various climate drivers and</w:t>
      </w:r>
      <w:r w:rsidR="3D851ADF" w:rsidRPr="00C236D3">
        <w:rPr>
          <w:rFonts w:ascii="Times New Roman" w:eastAsia="Calibri" w:hAnsi="Times New Roman" w:cs="Times New Roman"/>
          <w:color w:val="000000" w:themeColor="text1"/>
        </w:rPr>
        <w:t xml:space="preserve"> </w:t>
      </w:r>
      <w:r w:rsidR="5B72A301" w:rsidRPr="00C236D3">
        <w:rPr>
          <w:rFonts w:ascii="Times New Roman" w:eastAsia="Calibri" w:hAnsi="Times New Roman" w:cs="Times New Roman"/>
          <w:color w:val="000000" w:themeColor="text1"/>
        </w:rPr>
        <w:t>identified a myriad of negative health outcomes that may arise from them, which could impact the Company’s margins as global temperatures continue to increase.</w:t>
      </w:r>
      <w:r w:rsidRPr="00C236D3">
        <w:rPr>
          <w:rStyle w:val="FootnoteReference"/>
          <w:rFonts w:ascii="Times New Roman" w:eastAsia="Calibri" w:hAnsi="Times New Roman" w:cs="Times New Roman"/>
          <w:color w:val="000000" w:themeColor="text1"/>
        </w:rPr>
        <w:footnoteReference w:id="5"/>
      </w:r>
      <w:r w:rsidR="5B72A301" w:rsidRPr="00C236D3">
        <w:rPr>
          <w:rFonts w:ascii="Times New Roman" w:eastAsia="Calibri" w:hAnsi="Times New Roman" w:cs="Times New Roman"/>
          <w:color w:val="000000" w:themeColor="text1"/>
        </w:rPr>
        <w:t xml:space="preserve"> Indeed, Centene notes in its most recent 10-K that</w:t>
      </w:r>
      <w:r w:rsidR="0CA5C980" w:rsidRPr="00C236D3">
        <w:rPr>
          <w:rFonts w:ascii="Times New Roman" w:eastAsia="Calibri" w:hAnsi="Times New Roman" w:cs="Times New Roman"/>
          <w:color w:val="000000" w:themeColor="text1"/>
        </w:rPr>
        <w:t xml:space="preserve"> the effects of climate change “could reduce our ability to accurately predict and effectively control the costs of providing health benefits</w:t>
      </w:r>
      <w:r w:rsidR="7278778D" w:rsidRPr="00C236D3">
        <w:rPr>
          <w:rFonts w:ascii="Times New Roman" w:eastAsia="Calibri" w:hAnsi="Times New Roman" w:cs="Times New Roman"/>
          <w:color w:val="000000" w:themeColor="text1"/>
        </w:rPr>
        <w:t>.</w:t>
      </w:r>
      <w:r w:rsidR="0CA5C980" w:rsidRPr="00C236D3">
        <w:rPr>
          <w:rFonts w:ascii="Times New Roman" w:eastAsia="Calibri" w:hAnsi="Times New Roman" w:cs="Times New Roman"/>
          <w:color w:val="000000" w:themeColor="text1"/>
        </w:rPr>
        <w:t>”</w:t>
      </w:r>
      <w:r w:rsidRPr="00C236D3">
        <w:rPr>
          <w:rStyle w:val="FootnoteReference"/>
          <w:rFonts w:ascii="Times New Roman" w:eastAsia="Calibri" w:hAnsi="Times New Roman" w:cs="Times New Roman"/>
          <w:color w:val="000000" w:themeColor="text1"/>
        </w:rPr>
        <w:footnoteReference w:id="6"/>
      </w:r>
      <w:r w:rsidR="70CC3C46" w:rsidRPr="00C236D3">
        <w:rPr>
          <w:rFonts w:ascii="Times New Roman" w:eastAsia="Calibri" w:hAnsi="Times New Roman" w:cs="Times New Roman"/>
          <w:color w:val="000000" w:themeColor="text1"/>
        </w:rPr>
        <w:t xml:space="preserve"> </w:t>
      </w:r>
      <w:r w:rsidR="70CC3C46" w:rsidRPr="00C236D3">
        <w:rPr>
          <w:rFonts w:ascii="Times New Roman" w:eastAsia="Calibri" w:hAnsi="Times New Roman" w:cs="Times New Roman"/>
        </w:rPr>
        <w:t xml:space="preserve">The Company’s opposition statement identifies the “increasing regulatory and political uncertainty regarding disclosure and management of climate-related risks” as a reason to vote against this proposal. However, these changing dynamics do not </w:t>
      </w:r>
      <w:r w:rsidR="60ABD4F0" w:rsidRPr="00C236D3">
        <w:rPr>
          <w:rFonts w:ascii="Times New Roman" w:eastAsia="Calibri" w:hAnsi="Times New Roman" w:cs="Times New Roman"/>
        </w:rPr>
        <w:t xml:space="preserve">affect the imperative to </w:t>
      </w:r>
      <w:r w:rsidR="4E385BB5" w:rsidRPr="00C236D3">
        <w:rPr>
          <w:rFonts w:ascii="Times New Roman" w:eastAsia="Calibri" w:hAnsi="Times New Roman" w:cs="Times New Roman"/>
          <w:color w:val="000000" w:themeColor="text1"/>
        </w:rPr>
        <w:t>mitigate the material financial risks that climate change poses to Centene’s business, investor portfolios, and the global economy.</w:t>
      </w:r>
    </w:p>
    <w:p w14:paraId="316B3AEF" w14:textId="50C5D23E" w:rsidR="5AE2DBD3" w:rsidRPr="00C236D3" w:rsidRDefault="5AE2DBD3" w:rsidP="5AE2DBD3">
      <w:pPr>
        <w:spacing w:after="0" w:line="240" w:lineRule="auto"/>
        <w:rPr>
          <w:rFonts w:ascii="Times New Roman" w:eastAsia="Calibri" w:hAnsi="Times New Roman" w:cs="Times New Roman"/>
          <w:color w:val="000000" w:themeColor="text1"/>
        </w:rPr>
      </w:pPr>
    </w:p>
    <w:p w14:paraId="6340EA5C" w14:textId="427D216C" w:rsidR="030E851E" w:rsidRPr="00C236D3" w:rsidRDefault="030E851E" w:rsidP="5AE2DBD3">
      <w:pPr>
        <w:pStyle w:val="ListParagraph"/>
        <w:numPr>
          <w:ilvl w:val="0"/>
          <w:numId w:val="2"/>
        </w:numPr>
        <w:spacing w:line="240" w:lineRule="auto"/>
        <w:rPr>
          <w:rFonts w:ascii="Times New Roman" w:eastAsia="Calibri" w:hAnsi="Times New Roman" w:cs="Times New Roman"/>
          <w:b/>
          <w:bCs/>
          <w:color w:val="000000" w:themeColor="text1"/>
        </w:rPr>
      </w:pPr>
      <w:r w:rsidRPr="00C236D3">
        <w:rPr>
          <w:rFonts w:ascii="Times New Roman" w:eastAsia="Calibri" w:hAnsi="Times New Roman" w:cs="Times New Roman"/>
          <w:b/>
          <w:bCs/>
          <w:color w:val="000000" w:themeColor="text1"/>
        </w:rPr>
        <w:t>Centene does not have a</w:t>
      </w:r>
      <w:r w:rsidR="09203E8C" w:rsidRPr="00C236D3">
        <w:rPr>
          <w:rFonts w:ascii="Times New Roman" w:eastAsia="Calibri" w:hAnsi="Times New Roman" w:cs="Times New Roman"/>
          <w:b/>
          <w:bCs/>
          <w:color w:val="000000" w:themeColor="text1"/>
        </w:rPr>
        <w:t xml:space="preserve"> long-term</w:t>
      </w:r>
      <w:r w:rsidRPr="00C236D3">
        <w:rPr>
          <w:rFonts w:ascii="Times New Roman" w:eastAsia="Calibri" w:hAnsi="Times New Roman" w:cs="Times New Roman"/>
          <w:b/>
          <w:bCs/>
          <w:color w:val="000000" w:themeColor="text1"/>
        </w:rPr>
        <w:t xml:space="preserve"> climate mitigation strategy aligned with the Paris Agreement’s ambition to limit warming to 1.5</w:t>
      </w:r>
      <w:r w:rsidR="0C2D1F69" w:rsidRPr="00C236D3">
        <w:rPr>
          <w:rFonts w:ascii="Times New Roman" w:eastAsia="Calibri" w:hAnsi="Times New Roman" w:cs="Times New Roman"/>
          <w:b/>
          <w:bCs/>
          <w:color w:val="000000" w:themeColor="text1"/>
        </w:rPr>
        <w:t xml:space="preserve"> </w:t>
      </w:r>
      <w:r w:rsidRPr="00C236D3">
        <w:rPr>
          <w:rFonts w:ascii="Times New Roman" w:eastAsia="Calibri" w:hAnsi="Times New Roman" w:cs="Times New Roman"/>
          <w:b/>
          <w:bCs/>
          <w:color w:val="000000" w:themeColor="text1"/>
        </w:rPr>
        <w:t>°C</w:t>
      </w:r>
      <w:r w:rsidR="13FEF883" w:rsidRPr="00C236D3">
        <w:rPr>
          <w:rFonts w:ascii="Times New Roman" w:eastAsia="Calibri" w:hAnsi="Times New Roman" w:cs="Times New Roman"/>
          <w:b/>
          <w:bCs/>
          <w:color w:val="000000" w:themeColor="text1"/>
        </w:rPr>
        <w:t xml:space="preserve">, and this proposal provides the Company with flexibility </w:t>
      </w:r>
      <w:r w:rsidR="14690F65" w:rsidRPr="00C236D3">
        <w:rPr>
          <w:rFonts w:ascii="Times New Roman" w:eastAsia="Calibri" w:hAnsi="Times New Roman" w:cs="Times New Roman"/>
          <w:b/>
          <w:bCs/>
          <w:color w:val="000000" w:themeColor="text1"/>
        </w:rPr>
        <w:t xml:space="preserve">in its </w:t>
      </w:r>
      <w:r w:rsidR="74FE3BBA" w:rsidRPr="00C236D3">
        <w:rPr>
          <w:rFonts w:ascii="Times New Roman" w:eastAsia="Calibri" w:hAnsi="Times New Roman" w:cs="Times New Roman"/>
          <w:b/>
          <w:bCs/>
          <w:color w:val="000000" w:themeColor="text1"/>
        </w:rPr>
        <w:t>approach</w:t>
      </w:r>
      <w:r w:rsidR="14690F65" w:rsidRPr="00C236D3">
        <w:rPr>
          <w:rFonts w:ascii="Times New Roman" w:eastAsia="Calibri" w:hAnsi="Times New Roman" w:cs="Times New Roman"/>
          <w:b/>
          <w:bCs/>
          <w:color w:val="000000" w:themeColor="text1"/>
        </w:rPr>
        <w:t>.</w:t>
      </w:r>
    </w:p>
    <w:p w14:paraId="06FFA8C0" w14:textId="0F84079E" w:rsidR="13FEF883" w:rsidRPr="00C236D3" w:rsidRDefault="3C2D4584" w:rsidP="5AE2DBD3">
      <w:pPr>
        <w:spacing w:line="240" w:lineRule="auto"/>
        <w:rPr>
          <w:rFonts w:ascii="Times New Roman" w:eastAsia="Calibri" w:hAnsi="Times New Roman" w:cs="Times New Roman"/>
          <w:color w:val="000000" w:themeColor="text1"/>
        </w:rPr>
      </w:pPr>
      <w:r w:rsidRPr="00C236D3">
        <w:rPr>
          <w:rFonts w:ascii="Times New Roman" w:eastAsia="Calibri" w:hAnsi="Times New Roman" w:cs="Times New Roman"/>
          <w:color w:val="000000" w:themeColor="text1"/>
        </w:rPr>
        <w:t xml:space="preserve">While Centene’s emissions reduction efforts to date are commendable, the Company has not set targets for continuing progress in the near term or reaching net zero in the long term. </w:t>
      </w:r>
      <w:r w:rsidR="5BFF1D58" w:rsidRPr="00C236D3">
        <w:rPr>
          <w:rFonts w:ascii="Times New Roman" w:eastAsia="Calibri" w:hAnsi="Times New Roman" w:cs="Times New Roman"/>
          <w:color w:val="000000" w:themeColor="text1"/>
        </w:rPr>
        <w:t xml:space="preserve">Setting forward-looking goals is especially relevant as a large portion of the Company’s </w:t>
      </w:r>
      <w:r w:rsidR="5BFF1D58" w:rsidRPr="00C236D3">
        <w:rPr>
          <w:rFonts w:ascii="Times New Roman" w:eastAsia="Calibri" w:hAnsi="Times New Roman" w:cs="Times New Roman"/>
        </w:rPr>
        <w:t>scope 1 and 2</w:t>
      </w:r>
      <w:r w:rsidR="5BFF1D58" w:rsidRPr="00C236D3">
        <w:rPr>
          <w:rFonts w:ascii="Times New Roman" w:eastAsia="Calibri" w:hAnsi="Times New Roman" w:cs="Times New Roman"/>
          <w:color w:val="FF0000"/>
        </w:rPr>
        <w:t xml:space="preserve"> </w:t>
      </w:r>
      <w:r w:rsidR="5BFF1D58" w:rsidRPr="00C236D3">
        <w:rPr>
          <w:rFonts w:ascii="Times New Roman" w:eastAsia="Calibri" w:hAnsi="Times New Roman" w:cs="Times New Roman"/>
          <w:color w:val="000000" w:themeColor="text1"/>
        </w:rPr>
        <w:t>reductions appear to have resulted from its reduced real estate footprint</w:t>
      </w:r>
      <w:r w:rsidR="4C4EB7A7" w:rsidRPr="00C236D3">
        <w:rPr>
          <w:rFonts w:ascii="Times New Roman" w:eastAsia="Calibri" w:hAnsi="Times New Roman" w:cs="Times New Roman"/>
          <w:color w:val="000000" w:themeColor="text1"/>
        </w:rPr>
        <w:t>.</w:t>
      </w:r>
      <w:r w:rsidR="5DC5A866" w:rsidRPr="00C236D3">
        <w:rPr>
          <w:rFonts w:ascii="Times New Roman" w:eastAsia="Calibri" w:hAnsi="Times New Roman" w:cs="Times New Roman"/>
          <w:color w:val="000000" w:themeColor="text1"/>
        </w:rPr>
        <w:t xml:space="preserve"> </w:t>
      </w:r>
      <w:r w:rsidR="678E5D37" w:rsidRPr="00C236D3">
        <w:rPr>
          <w:rFonts w:ascii="Times New Roman" w:eastAsia="Calibri" w:hAnsi="Times New Roman" w:cs="Times New Roman"/>
          <w:color w:val="000000" w:themeColor="text1"/>
        </w:rPr>
        <w:t xml:space="preserve">While this </w:t>
      </w:r>
      <w:r w:rsidR="5BFF1D58" w:rsidRPr="00C236D3">
        <w:rPr>
          <w:rFonts w:ascii="Times New Roman" w:eastAsia="Calibri" w:hAnsi="Times New Roman" w:cs="Times New Roman"/>
          <w:color w:val="000000" w:themeColor="text1"/>
        </w:rPr>
        <w:t>create</w:t>
      </w:r>
      <w:r w:rsidR="079E7507" w:rsidRPr="00C236D3">
        <w:rPr>
          <w:rFonts w:ascii="Times New Roman" w:eastAsia="Calibri" w:hAnsi="Times New Roman" w:cs="Times New Roman"/>
          <w:color w:val="000000" w:themeColor="text1"/>
        </w:rPr>
        <w:t>d</w:t>
      </w:r>
      <w:r w:rsidR="5BFF1D58" w:rsidRPr="00C236D3">
        <w:rPr>
          <w:rFonts w:ascii="Times New Roman" w:eastAsia="Calibri" w:hAnsi="Times New Roman" w:cs="Times New Roman"/>
          <w:color w:val="000000" w:themeColor="text1"/>
        </w:rPr>
        <w:t xml:space="preserve"> reductions in the Company’s emissions accounting</w:t>
      </w:r>
      <w:r w:rsidR="65029B60" w:rsidRPr="00C236D3">
        <w:rPr>
          <w:rFonts w:ascii="Times New Roman" w:eastAsia="Calibri" w:hAnsi="Times New Roman" w:cs="Times New Roman"/>
          <w:color w:val="000000" w:themeColor="text1"/>
        </w:rPr>
        <w:t xml:space="preserve">, it is unclear whether </w:t>
      </w:r>
      <w:r w:rsidR="0470414B" w:rsidRPr="00C236D3">
        <w:rPr>
          <w:rFonts w:ascii="Times New Roman" w:eastAsia="Calibri" w:hAnsi="Times New Roman" w:cs="Times New Roman"/>
          <w:color w:val="000000" w:themeColor="text1"/>
        </w:rPr>
        <w:t>Centene</w:t>
      </w:r>
      <w:r w:rsidR="65029B60" w:rsidRPr="00C236D3">
        <w:rPr>
          <w:rFonts w:ascii="Times New Roman" w:eastAsia="Calibri" w:hAnsi="Times New Roman" w:cs="Times New Roman"/>
          <w:color w:val="000000" w:themeColor="text1"/>
        </w:rPr>
        <w:t>’s emissions have declined per</w:t>
      </w:r>
      <w:r w:rsidR="1431213D" w:rsidRPr="00C236D3">
        <w:rPr>
          <w:rFonts w:ascii="Times New Roman" w:eastAsia="Calibri" w:hAnsi="Times New Roman" w:cs="Times New Roman"/>
          <w:color w:val="000000" w:themeColor="text1"/>
        </w:rPr>
        <w:t xml:space="preserve"> </w:t>
      </w:r>
      <w:r w:rsidR="65029B60" w:rsidRPr="00C236D3">
        <w:rPr>
          <w:rFonts w:ascii="Times New Roman" w:eastAsia="Calibri" w:hAnsi="Times New Roman" w:cs="Times New Roman"/>
          <w:color w:val="000000" w:themeColor="text1"/>
        </w:rPr>
        <w:t xml:space="preserve">square foot </w:t>
      </w:r>
      <w:r w:rsidR="1CC43BE6" w:rsidRPr="00C236D3">
        <w:rPr>
          <w:rFonts w:ascii="Times New Roman" w:eastAsia="Calibri" w:hAnsi="Times New Roman" w:cs="Times New Roman"/>
          <w:color w:val="000000" w:themeColor="text1"/>
        </w:rPr>
        <w:t xml:space="preserve">across its remaining real estate footprint </w:t>
      </w:r>
      <w:r w:rsidR="4F13CF61" w:rsidRPr="00C236D3">
        <w:rPr>
          <w:rFonts w:ascii="Times New Roman" w:eastAsia="Calibri" w:hAnsi="Times New Roman" w:cs="Times New Roman"/>
          <w:color w:val="000000" w:themeColor="text1"/>
        </w:rPr>
        <w:t>or whether</w:t>
      </w:r>
      <w:r w:rsidR="19CE9294" w:rsidRPr="00C236D3">
        <w:rPr>
          <w:rFonts w:ascii="Times New Roman" w:eastAsia="Calibri" w:hAnsi="Times New Roman" w:cs="Times New Roman"/>
          <w:color w:val="000000" w:themeColor="text1"/>
        </w:rPr>
        <w:t xml:space="preserve"> </w:t>
      </w:r>
      <w:r w:rsidR="30FA3823" w:rsidRPr="00C236D3">
        <w:rPr>
          <w:rFonts w:ascii="Times New Roman" w:eastAsia="Calibri" w:hAnsi="Times New Roman" w:cs="Times New Roman"/>
          <w:color w:val="000000" w:themeColor="text1"/>
        </w:rPr>
        <w:t xml:space="preserve">this action </w:t>
      </w:r>
      <w:r w:rsidR="5BFF1D58" w:rsidRPr="00C236D3">
        <w:rPr>
          <w:rFonts w:ascii="Times New Roman" w:eastAsia="Calibri" w:hAnsi="Times New Roman" w:cs="Times New Roman"/>
          <w:color w:val="000000" w:themeColor="text1"/>
        </w:rPr>
        <w:t>translate</w:t>
      </w:r>
      <w:r w:rsidR="560508CE" w:rsidRPr="00C236D3">
        <w:rPr>
          <w:rFonts w:ascii="Times New Roman" w:eastAsia="Calibri" w:hAnsi="Times New Roman" w:cs="Times New Roman"/>
          <w:color w:val="000000" w:themeColor="text1"/>
        </w:rPr>
        <w:t>d</w:t>
      </w:r>
      <w:r w:rsidR="5BFF1D58" w:rsidRPr="00C236D3">
        <w:rPr>
          <w:rFonts w:ascii="Times New Roman" w:eastAsia="Calibri" w:hAnsi="Times New Roman" w:cs="Times New Roman"/>
          <w:color w:val="000000" w:themeColor="text1"/>
        </w:rPr>
        <w:t xml:space="preserve"> to fewer real-world emissions. </w:t>
      </w:r>
      <w:r w:rsidR="57028DE4" w:rsidRPr="00C236D3">
        <w:rPr>
          <w:rFonts w:ascii="Times New Roman" w:eastAsia="Calibri" w:hAnsi="Times New Roman" w:cs="Times New Roman"/>
          <w:color w:val="000000" w:themeColor="text1"/>
        </w:rPr>
        <w:t>Furthermore,</w:t>
      </w:r>
      <w:r w:rsidR="66313413" w:rsidRPr="00C236D3">
        <w:rPr>
          <w:rFonts w:ascii="Times New Roman" w:eastAsia="Calibri" w:hAnsi="Times New Roman" w:cs="Times New Roman"/>
          <w:color w:val="000000" w:themeColor="text1"/>
        </w:rPr>
        <w:t xml:space="preserve"> over 80%</w:t>
      </w:r>
      <w:r w:rsidR="57028DE4" w:rsidRPr="00C236D3">
        <w:rPr>
          <w:rFonts w:ascii="Times New Roman" w:eastAsia="Calibri" w:hAnsi="Times New Roman" w:cs="Times New Roman"/>
          <w:color w:val="000000" w:themeColor="text1"/>
        </w:rPr>
        <w:t xml:space="preserve"> of Centene’s emissions </w:t>
      </w:r>
      <w:r w:rsidR="054CB657" w:rsidRPr="00C236D3">
        <w:rPr>
          <w:rFonts w:ascii="Times New Roman" w:eastAsia="Calibri" w:hAnsi="Times New Roman" w:cs="Times New Roman"/>
          <w:color w:val="000000" w:themeColor="text1"/>
        </w:rPr>
        <w:t>fall into</w:t>
      </w:r>
      <w:r w:rsidR="48E5C3EB" w:rsidRPr="00C236D3">
        <w:rPr>
          <w:rFonts w:ascii="Times New Roman" w:eastAsia="Calibri" w:hAnsi="Times New Roman" w:cs="Times New Roman"/>
          <w:color w:val="000000" w:themeColor="text1"/>
        </w:rPr>
        <w:t xml:space="preserve"> </w:t>
      </w:r>
      <w:r w:rsidR="3E40BE7A" w:rsidRPr="00C236D3">
        <w:rPr>
          <w:rFonts w:ascii="Times New Roman" w:eastAsia="Calibri" w:hAnsi="Times New Roman" w:cs="Times New Roman"/>
          <w:color w:val="000000" w:themeColor="text1"/>
        </w:rPr>
        <w:t xml:space="preserve">scope 3, </w:t>
      </w:r>
      <w:r w:rsidR="57028DE4" w:rsidRPr="00C236D3">
        <w:rPr>
          <w:rFonts w:ascii="Times New Roman" w:eastAsia="Calibri" w:hAnsi="Times New Roman" w:cs="Times New Roman"/>
          <w:color w:val="000000" w:themeColor="text1"/>
        </w:rPr>
        <w:t>purchased goods and services</w:t>
      </w:r>
      <w:r w:rsidR="43D59B2C" w:rsidRPr="00C236D3">
        <w:rPr>
          <w:rFonts w:ascii="Times New Roman" w:eastAsia="Calibri" w:hAnsi="Times New Roman" w:cs="Times New Roman"/>
          <w:color w:val="000000" w:themeColor="text1"/>
        </w:rPr>
        <w:t xml:space="preserve">, for which the Company has not described any efforts to </w:t>
      </w:r>
      <w:r w:rsidR="0DEB691E" w:rsidRPr="00C236D3">
        <w:rPr>
          <w:rFonts w:ascii="Times New Roman" w:eastAsia="Calibri" w:hAnsi="Times New Roman" w:cs="Times New Roman"/>
          <w:color w:val="000000" w:themeColor="text1"/>
        </w:rPr>
        <w:t>reduce its supply chain emissions</w:t>
      </w:r>
      <w:r w:rsidR="57028DE4" w:rsidRPr="00C236D3">
        <w:rPr>
          <w:rFonts w:ascii="Times New Roman" w:eastAsia="Calibri" w:hAnsi="Times New Roman" w:cs="Times New Roman"/>
          <w:color w:val="000000" w:themeColor="text1"/>
        </w:rPr>
        <w:t xml:space="preserve">. </w:t>
      </w:r>
      <w:r w:rsidR="5BFF1D58" w:rsidRPr="00C236D3">
        <w:rPr>
          <w:rFonts w:ascii="Times New Roman" w:eastAsia="Calibri" w:hAnsi="Times New Roman" w:cs="Times New Roman"/>
          <w:color w:val="000000" w:themeColor="text1"/>
        </w:rPr>
        <w:t xml:space="preserve">Additional progress </w:t>
      </w:r>
      <w:r w:rsidR="760BBAB8" w:rsidRPr="00C236D3">
        <w:rPr>
          <w:rFonts w:ascii="Times New Roman" w:eastAsia="Calibri" w:hAnsi="Times New Roman" w:cs="Times New Roman"/>
          <w:color w:val="000000" w:themeColor="text1"/>
        </w:rPr>
        <w:t>ma</w:t>
      </w:r>
      <w:r w:rsidR="5BFF1D58" w:rsidRPr="00C236D3">
        <w:rPr>
          <w:rFonts w:ascii="Times New Roman" w:eastAsia="Calibri" w:hAnsi="Times New Roman" w:cs="Times New Roman"/>
          <w:color w:val="000000" w:themeColor="text1"/>
        </w:rPr>
        <w:t xml:space="preserve">y require </w:t>
      </w:r>
      <w:r w:rsidR="2E52D85E" w:rsidRPr="00C236D3">
        <w:rPr>
          <w:rFonts w:ascii="Times New Roman" w:eastAsia="Calibri" w:hAnsi="Times New Roman" w:cs="Times New Roman"/>
          <w:color w:val="000000" w:themeColor="text1"/>
        </w:rPr>
        <w:t xml:space="preserve">actions such as </w:t>
      </w:r>
      <w:r w:rsidR="5BFF1D58" w:rsidRPr="00C236D3">
        <w:rPr>
          <w:rFonts w:ascii="Times New Roman" w:eastAsia="Calibri" w:hAnsi="Times New Roman" w:cs="Times New Roman"/>
          <w:color w:val="000000" w:themeColor="text1"/>
        </w:rPr>
        <w:t>renewable energy procurement and supply chain engagement, which require careful planning and dedication of resources. Both these actions could, as examples, result in lower energy costs</w:t>
      </w:r>
      <w:r w:rsidR="0033BE14" w:rsidRPr="00C236D3">
        <w:rPr>
          <w:rFonts w:ascii="Times New Roman" w:eastAsia="Calibri" w:hAnsi="Times New Roman" w:cs="Times New Roman"/>
          <w:color w:val="000000" w:themeColor="text1"/>
        </w:rPr>
        <w:t>, increased resilience,</w:t>
      </w:r>
      <w:r w:rsidR="5BFF1D58" w:rsidRPr="00C236D3">
        <w:rPr>
          <w:rFonts w:ascii="Times New Roman" w:eastAsia="Calibri" w:hAnsi="Times New Roman" w:cs="Times New Roman"/>
          <w:color w:val="000000" w:themeColor="text1"/>
        </w:rPr>
        <w:t xml:space="preserve"> and strengthened supplier relationships for the Company.</w:t>
      </w:r>
    </w:p>
    <w:p w14:paraId="39D57F22" w14:textId="22926E9A" w:rsidR="13FEF883" w:rsidRPr="00C236D3" w:rsidRDefault="3C2D4584" w:rsidP="5AE2DBD3">
      <w:pPr>
        <w:spacing w:line="240" w:lineRule="auto"/>
        <w:rPr>
          <w:rFonts w:ascii="Times New Roman" w:eastAsia="Calibri" w:hAnsi="Times New Roman" w:cs="Times New Roman"/>
          <w:color w:val="000000" w:themeColor="text1"/>
        </w:rPr>
      </w:pPr>
      <w:r w:rsidRPr="00C236D3">
        <w:rPr>
          <w:rFonts w:ascii="Times New Roman" w:eastAsia="Calibri" w:hAnsi="Times New Roman" w:cs="Times New Roman"/>
          <w:color w:val="000000" w:themeColor="text1"/>
        </w:rPr>
        <w:t xml:space="preserve">The proponent supports the Company’s desire to maintain “flexibility to choose from among appropriate sustainability initiatives and the timing for the implementation of those initiatives," </w:t>
      </w:r>
      <w:r w:rsidRPr="00C236D3">
        <w:rPr>
          <w:rFonts w:ascii="Times New Roman" w:eastAsia="Calibri" w:hAnsi="Times New Roman" w:cs="Times New Roman"/>
          <w:color w:val="000000" w:themeColor="text1"/>
        </w:rPr>
        <w:lastRenderedPageBreak/>
        <w:t xml:space="preserve">as expressed in the opposition statement. This proposal does not seek to prescribe specific emissions reduction strategies or impose a particular timeline for setting targets, providing latitude to the Company regarding implementation. Rather, the proposal seeks </w:t>
      </w:r>
      <w:r w:rsidR="5A7585CD" w:rsidRPr="00C236D3">
        <w:rPr>
          <w:rFonts w:ascii="Times New Roman" w:eastAsia="Calibri" w:hAnsi="Times New Roman" w:cs="Times New Roman"/>
          <w:color w:val="000000" w:themeColor="text1"/>
        </w:rPr>
        <w:t xml:space="preserve">a report </w:t>
      </w:r>
      <w:r w:rsidRPr="00C236D3">
        <w:rPr>
          <w:rFonts w:ascii="Times New Roman" w:eastAsia="Calibri" w:hAnsi="Times New Roman" w:cs="Times New Roman"/>
          <w:color w:val="000000" w:themeColor="text1"/>
        </w:rPr>
        <w:t xml:space="preserve">to understand </w:t>
      </w:r>
      <w:r w:rsidR="4F2C61D9" w:rsidRPr="00C236D3">
        <w:rPr>
          <w:rFonts w:ascii="Times New Roman" w:eastAsia="Calibri" w:hAnsi="Times New Roman" w:cs="Times New Roman"/>
          <w:color w:val="000000" w:themeColor="text1"/>
        </w:rPr>
        <w:t xml:space="preserve">if, and </w:t>
      </w:r>
      <w:r w:rsidRPr="00C236D3">
        <w:rPr>
          <w:rFonts w:ascii="Times New Roman" w:eastAsia="Calibri" w:hAnsi="Times New Roman" w:cs="Times New Roman"/>
          <w:color w:val="000000" w:themeColor="text1"/>
        </w:rPr>
        <w:t>how</w:t>
      </w:r>
      <w:r w:rsidR="1C283B3C" w:rsidRPr="00C236D3">
        <w:rPr>
          <w:rFonts w:ascii="Times New Roman" w:eastAsia="Calibri" w:hAnsi="Times New Roman" w:cs="Times New Roman"/>
          <w:color w:val="000000" w:themeColor="text1"/>
        </w:rPr>
        <w:t>,</w:t>
      </w:r>
      <w:r w:rsidRPr="00C236D3">
        <w:rPr>
          <w:rFonts w:ascii="Times New Roman" w:eastAsia="Calibri" w:hAnsi="Times New Roman" w:cs="Times New Roman"/>
          <w:color w:val="000000" w:themeColor="text1"/>
        </w:rPr>
        <w:t xml:space="preserve"> Centene will continue to reduce its climate impacts and mitigate associated risks going forward</w:t>
      </w:r>
      <w:r w:rsidR="7CEAD98F" w:rsidRPr="00C236D3">
        <w:rPr>
          <w:rFonts w:ascii="Times New Roman" w:eastAsia="Calibri" w:hAnsi="Times New Roman" w:cs="Times New Roman"/>
          <w:color w:val="000000" w:themeColor="text1"/>
        </w:rPr>
        <w:t>.</w:t>
      </w:r>
    </w:p>
    <w:p w14:paraId="30AAD875" w14:textId="5DF066B5" w:rsidR="080FD77F" w:rsidRPr="00C236D3" w:rsidRDefault="080FD77F" w:rsidP="5AE2DBD3">
      <w:pPr>
        <w:pStyle w:val="ListParagraph"/>
        <w:numPr>
          <w:ilvl w:val="0"/>
          <w:numId w:val="2"/>
        </w:numPr>
        <w:spacing w:line="240" w:lineRule="auto"/>
        <w:rPr>
          <w:rFonts w:ascii="Times New Roman" w:eastAsia="Calibri" w:hAnsi="Times New Roman" w:cs="Times New Roman"/>
          <w:b/>
          <w:bCs/>
          <w:color w:val="000000" w:themeColor="text1"/>
        </w:rPr>
      </w:pPr>
      <w:r w:rsidRPr="00C236D3">
        <w:rPr>
          <w:rFonts w:ascii="Times New Roman" w:eastAsia="Calibri" w:hAnsi="Times New Roman" w:cs="Times New Roman"/>
          <w:b/>
          <w:bCs/>
          <w:color w:val="000000" w:themeColor="text1"/>
        </w:rPr>
        <w:t>The Company lags peers in setting GHG reduction targets.</w:t>
      </w:r>
    </w:p>
    <w:p w14:paraId="6537F8D4" w14:textId="19F92CD0" w:rsidR="5AE2DBD3" w:rsidRPr="00C236D3" w:rsidRDefault="080FD77F" w:rsidP="5AE2DBD3">
      <w:pPr>
        <w:spacing w:line="240" w:lineRule="auto"/>
        <w:rPr>
          <w:rFonts w:ascii="Times New Roman" w:eastAsia="Calibri" w:hAnsi="Times New Roman" w:cs="Times New Roman"/>
          <w:color w:val="000000" w:themeColor="text1"/>
        </w:rPr>
      </w:pPr>
      <w:r w:rsidRPr="00C236D3">
        <w:rPr>
          <w:rFonts w:ascii="Times New Roman" w:eastAsia="Calibri" w:hAnsi="Times New Roman" w:cs="Times New Roman"/>
          <w:color w:val="000000" w:themeColor="text1"/>
        </w:rPr>
        <w:t xml:space="preserve">Industry peers have high ambitions for GHG reduction. </w:t>
      </w:r>
      <w:r w:rsidRPr="00C236D3">
        <w:rPr>
          <w:rFonts w:ascii="Times New Roman" w:eastAsia="Calibri" w:hAnsi="Times New Roman" w:cs="Times New Roman"/>
          <w:b/>
          <w:bCs/>
          <w:color w:val="000000" w:themeColor="text1"/>
        </w:rPr>
        <w:t xml:space="preserve">CVS Health </w:t>
      </w:r>
      <w:r w:rsidRPr="00C236D3">
        <w:rPr>
          <w:rFonts w:ascii="Times New Roman" w:eastAsia="Calibri" w:hAnsi="Times New Roman" w:cs="Times New Roman"/>
          <w:color w:val="000000" w:themeColor="text1"/>
        </w:rPr>
        <w:t>(Aetna)</w:t>
      </w:r>
      <w:r w:rsidRPr="00C236D3">
        <w:rPr>
          <w:rFonts w:ascii="Times New Roman" w:eastAsia="Calibri" w:hAnsi="Times New Roman" w:cs="Times New Roman"/>
          <w:b/>
          <w:bCs/>
          <w:color w:val="000000" w:themeColor="text1"/>
        </w:rPr>
        <w:t xml:space="preserve"> </w:t>
      </w:r>
      <w:r w:rsidRPr="00C236D3">
        <w:rPr>
          <w:rFonts w:ascii="Times New Roman" w:eastAsia="Calibri" w:hAnsi="Times New Roman" w:cs="Times New Roman"/>
          <w:color w:val="000000" w:themeColor="text1"/>
        </w:rPr>
        <w:t xml:space="preserve">and </w:t>
      </w:r>
      <w:r w:rsidRPr="00C236D3">
        <w:rPr>
          <w:rFonts w:ascii="Times New Roman" w:eastAsia="Calibri" w:hAnsi="Times New Roman" w:cs="Times New Roman"/>
          <w:b/>
          <w:bCs/>
          <w:color w:val="000000" w:themeColor="text1"/>
        </w:rPr>
        <w:t xml:space="preserve">UnitedHealth Group </w:t>
      </w:r>
      <w:r w:rsidRPr="00C236D3">
        <w:rPr>
          <w:rFonts w:ascii="Times New Roman" w:eastAsia="Calibri" w:hAnsi="Times New Roman" w:cs="Times New Roman"/>
          <w:color w:val="000000" w:themeColor="text1"/>
        </w:rPr>
        <w:t xml:space="preserve">have set and committed to set, respectively, both near-term and net zero targets through the </w:t>
      </w:r>
      <w:r w:rsidR="0C71AE88" w:rsidRPr="00C236D3">
        <w:rPr>
          <w:rFonts w:ascii="Times New Roman" w:eastAsia="Calibri" w:hAnsi="Times New Roman" w:cs="Times New Roman"/>
          <w:color w:val="000000" w:themeColor="text1"/>
        </w:rPr>
        <w:t>Science Based Targets initiative (</w:t>
      </w:r>
      <w:r w:rsidRPr="00C236D3">
        <w:rPr>
          <w:rFonts w:ascii="Times New Roman" w:eastAsia="Calibri" w:hAnsi="Times New Roman" w:cs="Times New Roman"/>
          <w:color w:val="000000" w:themeColor="text1"/>
        </w:rPr>
        <w:t>SBTi</w:t>
      </w:r>
      <w:r w:rsidR="68CB06C4" w:rsidRPr="00C236D3">
        <w:rPr>
          <w:rFonts w:ascii="Times New Roman" w:eastAsia="Calibri" w:hAnsi="Times New Roman" w:cs="Times New Roman"/>
          <w:color w:val="000000" w:themeColor="text1"/>
        </w:rPr>
        <w:t>)</w:t>
      </w:r>
      <w:r w:rsidRPr="00C236D3">
        <w:rPr>
          <w:rFonts w:ascii="Times New Roman" w:eastAsia="Calibri" w:hAnsi="Times New Roman" w:cs="Times New Roman"/>
          <w:color w:val="000000" w:themeColor="text1"/>
        </w:rPr>
        <w:t xml:space="preserve">. </w:t>
      </w:r>
      <w:r w:rsidRPr="00C236D3">
        <w:rPr>
          <w:rFonts w:ascii="Times New Roman" w:eastAsia="Calibri" w:hAnsi="Times New Roman" w:cs="Times New Roman"/>
          <w:b/>
          <w:bCs/>
          <w:color w:val="000000" w:themeColor="text1"/>
        </w:rPr>
        <w:t xml:space="preserve">Cigna </w:t>
      </w:r>
      <w:r w:rsidRPr="00C236D3">
        <w:rPr>
          <w:rFonts w:ascii="Times New Roman" w:eastAsia="Calibri" w:hAnsi="Times New Roman" w:cs="Times New Roman"/>
          <w:color w:val="000000" w:themeColor="text1"/>
        </w:rPr>
        <w:t>also committed to set near-term targets through the SBTi this past summer.</w:t>
      </w:r>
      <w:r w:rsidRPr="00C236D3">
        <w:rPr>
          <w:rStyle w:val="FootnoteReference"/>
          <w:rFonts w:ascii="Times New Roman" w:eastAsia="Calibri" w:hAnsi="Times New Roman" w:cs="Times New Roman"/>
          <w:color w:val="000000" w:themeColor="text1"/>
        </w:rPr>
        <w:footnoteReference w:id="7"/>
      </w:r>
      <w:r w:rsidRPr="00C236D3">
        <w:rPr>
          <w:rFonts w:ascii="Times New Roman" w:eastAsia="Calibri" w:hAnsi="Times New Roman" w:cs="Times New Roman"/>
          <w:color w:val="000000" w:themeColor="text1"/>
        </w:rPr>
        <w:t xml:space="preserve"> </w:t>
      </w:r>
      <w:r w:rsidRPr="00C236D3">
        <w:rPr>
          <w:rFonts w:ascii="Times New Roman" w:eastAsia="Calibri" w:hAnsi="Times New Roman" w:cs="Times New Roman"/>
          <w:b/>
          <w:bCs/>
          <w:color w:val="000000" w:themeColor="text1"/>
        </w:rPr>
        <w:t>Elevance Health</w:t>
      </w:r>
      <w:r w:rsidRPr="00C236D3">
        <w:rPr>
          <w:rFonts w:ascii="Times New Roman" w:eastAsia="Calibri" w:hAnsi="Times New Roman" w:cs="Times New Roman"/>
          <w:color w:val="000000" w:themeColor="text1"/>
        </w:rPr>
        <w:t xml:space="preserve"> aims to achieve net zero by 2050 and notes, “we engage our top 80%</w:t>
      </w:r>
      <w:r w:rsidR="70A645C6" w:rsidRPr="00C236D3">
        <w:rPr>
          <w:rFonts w:ascii="Times New Roman" w:eastAsia="Calibri" w:hAnsi="Times New Roman" w:cs="Times New Roman"/>
          <w:color w:val="000000" w:themeColor="text1"/>
        </w:rPr>
        <w:t xml:space="preserve"> of</w:t>
      </w:r>
      <w:r w:rsidRPr="00C236D3">
        <w:rPr>
          <w:rFonts w:ascii="Times New Roman" w:eastAsia="Calibri" w:hAnsi="Times New Roman" w:cs="Times New Roman"/>
          <w:color w:val="000000" w:themeColor="text1"/>
        </w:rPr>
        <w:t xml:space="preserve"> suppliers by spend on setting their own science-based emissions reduction targets</w:t>
      </w:r>
      <w:r w:rsidR="5852F935" w:rsidRPr="00C236D3">
        <w:rPr>
          <w:rFonts w:ascii="Times New Roman" w:eastAsia="Calibri" w:hAnsi="Times New Roman" w:cs="Times New Roman"/>
          <w:color w:val="000000" w:themeColor="text1"/>
        </w:rPr>
        <w:t>.</w:t>
      </w:r>
      <w:r w:rsidRPr="00C236D3">
        <w:rPr>
          <w:rFonts w:ascii="Times New Roman" w:eastAsia="Calibri" w:hAnsi="Times New Roman" w:cs="Times New Roman"/>
          <w:color w:val="000000" w:themeColor="text1"/>
        </w:rPr>
        <w:t>”</w:t>
      </w:r>
      <w:r w:rsidR="0766BEA3" w:rsidRPr="00C236D3">
        <w:rPr>
          <w:rFonts w:ascii="Times New Roman" w:eastAsia="Calibri" w:hAnsi="Times New Roman" w:cs="Times New Roman"/>
          <w:color w:val="000000" w:themeColor="text1"/>
        </w:rPr>
        <w:t xml:space="preserve"> Elevance Health is a signatory to RE100</w:t>
      </w:r>
      <w:r w:rsidR="7C602E0E" w:rsidRPr="00C236D3">
        <w:rPr>
          <w:rFonts w:ascii="Times New Roman" w:eastAsia="Calibri" w:hAnsi="Times New Roman" w:cs="Times New Roman"/>
          <w:color w:val="000000" w:themeColor="text1"/>
        </w:rPr>
        <w:t>, a corporate renewable energy initiative,</w:t>
      </w:r>
      <w:r w:rsidR="0766BEA3" w:rsidRPr="00C236D3">
        <w:rPr>
          <w:rFonts w:ascii="Times New Roman" w:eastAsia="Calibri" w:hAnsi="Times New Roman" w:cs="Times New Roman"/>
          <w:color w:val="000000" w:themeColor="text1"/>
        </w:rPr>
        <w:t xml:space="preserve"> and </w:t>
      </w:r>
      <w:r w:rsidR="00A39767" w:rsidRPr="00C236D3">
        <w:rPr>
          <w:rFonts w:ascii="Times New Roman" w:eastAsia="Calibri" w:hAnsi="Times New Roman" w:cs="Times New Roman"/>
          <w:color w:val="000000" w:themeColor="text1"/>
        </w:rPr>
        <w:t xml:space="preserve">has used </w:t>
      </w:r>
      <w:r w:rsidR="0766BEA3" w:rsidRPr="00C236D3">
        <w:rPr>
          <w:rFonts w:ascii="Times New Roman" w:eastAsia="Calibri" w:hAnsi="Times New Roman" w:cs="Times New Roman"/>
          <w:color w:val="000000" w:themeColor="text1"/>
        </w:rPr>
        <w:t>100% renewable energy to power its operations</w:t>
      </w:r>
      <w:r w:rsidR="5F448029" w:rsidRPr="00C236D3">
        <w:rPr>
          <w:rFonts w:ascii="Times New Roman" w:eastAsia="Calibri" w:hAnsi="Times New Roman" w:cs="Times New Roman"/>
          <w:color w:val="000000" w:themeColor="text1"/>
        </w:rPr>
        <w:t xml:space="preserve"> since 2021, 4 years ahead of its 2025 target year</w:t>
      </w:r>
      <w:r w:rsidR="0766BEA3" w:rsidRPr="00C236D3">
        <w:rPr>
          <w:rFonts w:ascii="Times New Roman" w:eastAsia="Calibri" w:hAnsi="Times New Roman" w:cs="Times New Roman"/>
          <w:color w:val="000000" w:themeColor="text1"/>
        </w:rPr>
        <w:t>.</w:t>
      </w:r>
      <w:r w:rsidRPr="00C236D3">
        <w:rPr>
          <w:rStyle w:val="FootnoteReference"/>
          <w:rFonts w:ascii="Times New Roman" w:eastAsia="Calibri" w:hAnsi="Times New Roman" w:cs="Times New Roman"/>
          <w:color w:val="000000" w:themeColor="text1"/>
        </w:rPr>
        <w:footnoteReference w:id="8"/>
      </w:r>
      <w:r w:rsidRPr="00C236D3">
        <w:rPr>
          <w:rFonts w:ascii="Times New Roman" w:eastAsia="Calibri" w:hAnsi="Times New Roman" w:cs="Times New Roman"/>
          <w:color w:val="000000" w:themeColor="text1"/>
        </w:rPr>
        <w:t xml:space="preserve"> The proposal recommends that </w:t>
      </w:r>
      <w:r w:rsidR="0C8A1BB8" w:rsidRPr="00C236D3">
        <w:rPr>
          <w:rFonts w:ascii="Times New Roman" w:eastAsia="Calibri" w:hAnsi="Times New Roman" w:cs="Times New Roman"/>
          <w:color w:val="000000" w:themeColor="text1"/>
        </w:rPr>
        <w:t xml:space="preserve">Centene </w:t>
      </w:r>
      <w:r w:rsidRPr="00C236D3">
        <w:rPr>
          <w:rFonts w:ascii="Times New Roman" w:eastAsia="Calibri" w:hAnsi="Times New Roman" w:cs="Times New Roman"/>
          <w:color w:val="000000" w:themeColor="text1"/>
        </w:rPr>
        <w:t>assess setting</w:t>
      </w:r>
      <w:r w:rsidR="71B8492C" w:rsidRPr="00C236D3">
        <w:rPr>
          <w:rFonts w:ascii="Times New Roman" w:eastAsia="Calibri" w:hAnsi="Times New Roman" w:cs="Times New Roman"/>
          <w:color w:val="000000" w:themeColor="text1"/>
        </w:rPr>
        <w:t xml:space="preserve"> targets</w:t>
      </w:r>
      <w:r w:rsidRPr="00C236D3">
        <w:rPr>
          <w:rFonts w:ascii="Times New Roman" w:eastAsia="Calibri" w:hAnsi="Times New Roman" w:cs="Times New Roman"/>
          <w:color w:val="000000" w:themeColor="text1"/>
        </w:rPr>
        <w:t xml:space="preserve"> through the SBTi</w:t>
      </w:r>
      <w:r w:rsidR="24C3AB57" w:rsidRPr="00C236D3">
        <w:rPr>
          <w:rFonts w:ascii="Times New Roman" w:eastAsia="Calibri" w:hAnsi="Times New Roman" w:cs="Times New Roman"/>
          <w:color w:val="000000" w:themeColor="text1"/>
        </w:rPr>
        <w:t xml:space="preserve">, </w:t>
      </w:r>
      <w:r w:rsidR="755412F6" w:rsidRPr="00C236D3">
        <w:rPr>
          <w:rFonts w:ascii="Times New Roman" w:eastAsia="Calibri" w:hAnsi="Times New Roman" w:cs="Times New Roman"/>
          <w:color w:val="000000" w:themeColor="text1"/>
        </w:rPr>
        <w:t xml:space="preserve">which would provide the </w:t>
      </w:r>
      <w:r w:rsidR="531588BE" w:rsidRPr="00C236D3">
        <w:rPr>
          <w:rFonts w:ascii="Times New Roman" w:eastAsia="Calibri" w:hAnsi="Times New Roman" w:cs="Times New Roman"/>
          <w:color w:val="000000" w:themeColor="text1"/>
        </w:rPr>
        <w:t>C</w:t>
      </w:r>
      <w:r w:rsidR="755412F6" w:rsidRPr="00C236D3">
        <w:rPr>
          <w:rFonts w:ascii="Times New Roman" w:eastAsia="Calibri" w:hAnsi="Times New Roman" w:cs="Times New Roman"/>
          <w:color w:val="000000" w:themeColor="text1"/>
        </w:rPr>
        <w:t xml:space="preserve">ompany a full two years after making the initial commitment to set targets and identify </w:t>
      </w:r>
      <w:r w:rsidR="4833207B" w:rsidRPr="00C236D3">
        <w:rPr>
          <w:rFonts w:ascii="Times New Roman" w:eastAsia="Calibri" w:hAnsi="Times New Roman" w:cs="Times New Roman"/>
          <w:color w:val="000000" w:themeColor="text1"/>
        </w:rPr>
        <w:t xml:space="preserve">appropriate </w:t>
      </w:r>
      <w:r w:rsidR="755412F6" w:rsidRPr="00C236D3">
        <w:rPr>
          <w:rFonts w:ascii="Times New Roman" w:eastAsia="Calibri" w:hAnsi="Times New Roman" w:cs="Times New Roman"/>
          <w:color w:val="000000" w:themeColor="text1"/>
        </w:rPr>
        <w:t xml:space="preserve">strategies to </w:t>
      </w:r>
      <w:r w:rsidR="1DDB89D4" w:rsidRPr="00C236D3">
        <w:rPr>
          <w:rFonts w:ascii="Times New Roman" w:eastAsia="Calibri" w:hAnsi="Times New Roman" w:cs="Times New Roman"/>
          <w:color w:val="000000" w:themeColor="text1"/>
        </w:rPr>
        <w:t>achieve</w:t>
      </w:r>
      <w:r w:rsidR="755412F6" w:rsidRPr="00C236D3">
        <w:rPr>
          <w:rFonts w:ascii="Times New Roman" w:eastAsia="Calibri" w:hAnsi="Times New Roman" w:cs="Times New Roman"/>
          <w:color w:val="000000" w:themeColor="text1"/>
        </w:rPr>
        <w:t xml:space="preserve"> the</w:t>
      </w:r>
      <w:r w:rsidR="4DAB50CB" w:rsidRPr="00C236D3">
        <w:rPr>
          <w:rFonts w:ascii="Times New Roman" w:eastAsia="Calibri" w:hAnsi="Times New Roman" w:cs="Times New Roman"/>
          <w:color w:val="000000" w:themeColor="text1"/>
        </w:rPr>
        <w:t>m.</w:t>
      </w:r>
    </w:p>
    <w:p w14:paraId="6088E3ED" w14:textId="77777777" w:rsidR="00C666FB" w:rsidRPr="00C236D3" w:rsidRDefault="00C666FB" w:rsidP="002537F5">
      <w:pPr>
        <w:spacing w:line="240" w:lineRule="auto"/>
        <w:jc w:val="center"/>
        <w:rPr>
          <w:rFonts w:ascii="Times New Roman" w:eastAsia="Calibri" w:hAnsi="Times New Roman" w:cs="Times New Roman"/>
          <w:b/>
          <w:bCs/>
          <w:color w:val="000000" w:themeColor="text1"/>
        </w:rPr>
      </w:pPr>
    </w:p>
    <w:p w14:paraId="2A490975" w14:textId="434C4892" w:rsidR="5AE2DBD3" w:rsidRPr="00C236D3" w:rsidRDefault="030E851E" w:rsidP="002537F5">
      <w:pPr>
        <w:spacing w:line="240" w:lineRule="auto"/>
        <w:jc w:val="center"/>
        <w:rPr>
          <w:rFonts w:ascii="Times New Roman" w:eastAsia="Calibri" w:hAnsi="Times New Roman" w:cs="Times New Roman"/>
          <w:b/>
          <w:bCs/>
          <w:color w:val="000000" w:themeColor="text1"/>
          <w:highlight w:val="yellow"/>
        </w:rPr>
      </w:pPr>
      <w:r w:rsidRPr="00C236D3">
        <w:rPr>
          <w:rFonts w:ascii="Times New Roman" w:eastAsia="Calibri" w:hAnsi="Times New Roman" w:cs="Times New Roman"/>
          <w:b/>
          <w:bCs/>
          <w:color w:val="000000" w:themeColor="text1"/>
        </w:rPr>
        <w:t xml:space="preserve">Vote “Yes” on Shareholder Proposal </w:t>
      </w:r>
      <w:r w:rsidR="7EE7655E" w:rsidRPr="00C236D3">
        <w:rPr>
          <w:rFonts w:ascii="Times New Roman" w:eastAsia="Calibri" w:hAnsi="Times New Roman" w:cs="Times New Roman"/>
          <w:b/>
          <w:bCs/>
          <w:color w:val="000000" w:themeColor="text1"/>
        </w:rPr>
        <w:t>#5</w:t>
      </w:r>
    </w:p>
    <w:p w14:paraId="2C078E63" w14:textId="47A12D79" w:rsidR="00941CC7" w:rsidRPr="00C236D3" w:rsidRDefault="00941CC7" w:rsidP="5AE2DBD3">
      <w:pPr>
        <w:spacing w:line="240" w:lineRule="auto"/>
        <w:rPr>
          <w:rFonts w:ascii="Times New Roman" w:hAnsi="Times New Roman" w:cs="Times New Roman"/>
        </w:rPr>
      </w:pPr>
    </w:p>
    <w:sectPr w:rsidR="00941CC7" w:rsidRPr="00C236D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AD43F" w14:textId="77777777" w:rsidR="007E5E54" w:rsidRDefault="007E5E54">
      <w:pPr>
        <w:spacing w:after="0" w:line="240" w:lineRule="auto"/>
      </w:pPr>
      <w:r>
        <w:separator/>
      </w:r>
    </w:p>
  </w:endnote>
  <w:endnote w:type="continuationSeparator" w:id="0">
    <w:p w14:paraId="28A853EB" w14:textId="77777777" w:rsidR="007E5E54" w:rsidRDefault="007E5E54">
      <w:pPr>
        <w:spacing w:after="0" w:line="240" w:lineRule="auto"/>
      </w:pPr>
      <w:r>
        <w:continuationSeparator/>
      </w:r>
    </w:p>
  </w:endnote>
  <w:endnote w:type="continuationNotice" w:id="1">
    <w:p w14:paraId="39B8615D" w14:textId="77777777" w:rsidR="007E5E54" w:rsidRDefault="007E5E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7DE9C" w14:textId="77777777" w:rsidR="007E5E54" w:rsidRDefault="007E5E54">
      <w:pPr>
        <w:spacing w:after="0" w:line="240" w:lineRule="auto"/>
      </w:pPr>
      <w:r>
        <w:separator/>
      </w:r>
    </w:p>
  </w:footnote>
  <w:footnote w:type="continuationSeparator" w:id="0">
    <w:p w14:paraId="2000EC18" w14:textId="77777777" w:rsidR="007E5E54" w:rsidRDefault="007E5E54">
      <w:pPr>
        <w:spacing w:after="0" w:line="240" w:lineRule="auto"/>
      </w:pPr>
      <w:r>
        <w:continuationSeparator/>
      </w:r>
    </w:p>
  </w:footnote>
  <w:footnote w:type="continuationNotice" w:id="1">
    <w:p w14:paraId="41C3CF3A" w14:textId="77777777" w:rsidR="007E5E54" w:rsidRDefault="007E5E54">
      <w:pPr>
        <w:spacing w:after="0" w:line="240" w:lineRule="auto"/>
      </w:pPr>
    </w:p>
  </w:footnote>
  <w:footnote w:id="2">
    <w:p w14:paraId="0A1F761E" w14:textId="65DA2FC7" w:rsidR="5AE2DBD3" w:rsidRPr="009E48A7" w:rsidRDefault="5AE2DBD3" w:rsidP="5AE2DBD3">
      <w:pPr>
        <w:pStyle w:val="FootnoteText"/>
        <w:rPr>
          <w:rFonts w:ascii="Times New Roman" w:hAnsi="Times New Roman" w:cs="Times New Roman"/>
        </w:rPr>
      </w:pPr>
      <w:r w:rsidRPr="009E48A7">
        <w:rPr>
          <w:rStyle w:val="FootnoteReference"/>
          <w:rFonts w:ascii="Times New Roman" w:hAnsi="Times New Roman" w:cs="Times New Roman"/>
        </w:rPr>
        <w:footnoteRef/>
      </w:r>
      <w:r w:rsidRPr="009E48A7">
        <w:rPr>
          <w:rFonts w:ascii="Times New Roman" w:hAnsi="Times New Roman" w:cs="Times New Roman"/>
        </w:rPr>
        <w:t xml:space="preserve"> https://www.epa.gov/climateimpacts/climate-change-impacts-air-quality </w:t>
      </w:r>
    </w:p>
  </w:footnote>
  <w:footnote w:id="3">
    <w:p w14:paraId="42C8092C" w14:textId="6248BF85" w:rsidR="5AE2DBD3" w:rsidRPr="009E48A7" w:rsidRDefault="5AE2DBD3" w:rsidP="5AE2DBD3">
      <w:pPr>
        <w:pStyle w:val="FootnoteText"/>
        <w:rPr>
          <w:rFonts w:ascii="Times New Roman" w:hAnsi="Times New Roman" w:cs="Times New Roman"/>
        </w:rPr>
      </w:pPr>
      <w:r w:rsidRPr="009E48A7">
        <w:rPr>
          <w:rStyle w:val="FootnoteReference"/>
          <w:rFonts w:ascii="Times New Roman" w:hAnsi="Times New Roman" w:cs="Times New Roman"/>
        </w:rPr>
        <w:footnoteRef/>
      </w:r>
      <w:r w:rsidRPr="009E48A7">
        <w:rPr>
          <w:rFonts w:ascii="Times New Roman" w:hAnsi="Times New Roman" w:cs="Times New Roman"/>
        </w:rPr>
        <w:t xml:space="preserve"> https://www.nejm.org/doi/full/10.1056/NEJMra2210769</w:t>
      </w:r>
    </w:p>
  </w:footnote>
  <w:footnote w:id="4">
    <w:p w14:paraId="7857877B" w14:textId="36186E35" w:rsidR="5AE2DBD3" w:rsidRPr="009E48A7" w:rsidRDefault="5AE2DBD3" w:rsidP="002537F5">
      <w:pPr>
        <w:spacing w:after="0"/>
        <w:jc w:val="both"/>
        <w:rPr>
          <w:rFonts w:ascii="Times New Roman" w:eastAsia="Calibri" w:hAnsi="Times New Roman" w:cs="Times New Roman"/>
          <w:sz w:val="22"/>
          <w:szCs w:val="22"/>
        </w:rPr>
      </w:pPr>
      <w:r w:rsidRPr="009E48A7">
        <w:rPr>
          <w:rStyle w:val="FootnoteReference"/>
          <w:rFonts w:ascii="Times New Roman" w:hAnsi="Times New Roman" w:cs="Times New Roman"/>
          <w:sz w:val="20"/>
          <w:szCs w:val="20"/>
        </w:rPr>
        <w:footnoteRef/>
      </w:r>
      <w:r w:rsidRPr="009E48A7">
        <w:rPr>
          <w:rFonts w:ascii="Times New Roman" w:hAnsi="Times New Roman" w:cs="Times New Roman"/>
          <w:sz w:val="20"/>
          <w:szCs w:val="20"/>
        </w:rPr>
        <w:t xml:space="preserve"> </w:t>
      </w:r>
      <w:r w:rsidRPr="009E48A7">
        <w:rPr>
          <w:rFonts w:ascii="Times New Roman" w:eastAsia="Calibri" w:hAnsi="Times New Roman" w:cs="Times New Roman"/>
          <w:sz w:val="20"/>
          <w:szCs w:val="20"/>
        </w:rPr>
        <w:t>https://www.cdc.gov/climate-health/php/effects/vectors.html</w:t>
      </w:r>
    </w:p>
  </w:footnote>
  <w:footnote w:id="5">
    <w:p w14:paraId="69DF5288" w14:textId="34A43104" w:rsidR="5AE2DBD3" w:rsidRPr="009E48A7" w:rsidRDefault="5AE2DBD3" w:rsidP="5AE2DBD3">
      <w:pPr>
        <w:pStyle w:val="FootnoteText"/>
        <w:rPr>
          <w:rFonts w:ascii="Times New Roman" w:hAnsi="Times New Roman" w:cs="Times New Roman"/>
        </w:rPr>
      </w:pPr>
      <w:r w:rsidRPr="009E48A7">
        <w:rPr>
          <w:rStyle w:val="FootnoteReference"/>
          <w:rFonts w:ascii="Times New Roman" w:hAnsi="Times New Roman" w:cs="Times New Roman"/>
        </w:rPr>
        <w:footnoteRef/>
      </w:r>
      <w:r w:rsidRPr="009E48A7">
        <w:rPr>
          <w:rFonts w:ascii="Times New Roman" w:hAnsi="Times New Roman" w:cs="Times New Roman"/>
        </w:rPr>
        <w:t xml:space="preserve"> https://www.centene.com/content/dam/centenedotcom/documents/TCFD-Index-2024.pdf </w:t>
      </w:r>
    </w:p>
  </w:footnote>
  <w:footnote w:id="6">
    <w:p w14:paraId="099DC19D" w14:textId="7CD23D5E" w:rsidR="5AE2DBD3" w:rsidRPr="002537F5" w:rsidRDefault="5AE2DBD3" w:rsidP="5AE2DBD3">
      <w:pPr>
        <w:pStyle w:val="FootnoteText"/>
        <w:rPr>
          <w:rFonts w:ascii="Calibri" w:hAnsi="Calibri" w:cs="Calibri"/>
        </w:rPr>
      </w:pPr>
      <w:r w:rsidRPr="009E48A7">
        <w:rPr>
          <w:rStyle w:val="FootnoteReference"/>
          <w:rFonts w:ascii="Times New Roman" w:hAnsi="Times New Roman" w:cs="Times New Roman"/>
        </w:rPr>
        <w:footnoteRef/>
      </w:r>
      <w:r w:rsidRPr="009E48A7">
        <w:rPr>
          <w:rFonts w:ascii="Times New Roman" w:hAnsi="Times New Roman" w:cs="Times New Roman"/>
        </w:rPr>
        <w:t xml:space="preserve"> https://www.sec.gov/ix?doc=/Archives/edgar/data/1071739/000107173924000037/cnc-20231231.htm</w:t>
      </w:r>
    </w:p>
  </w:footnote>
  <w:footnote w:id="7">
    <w:p w14:paraId="5F510179" w14:textId="60738508" w:rsidR="5AE2DBD3" w:rsidRPr="009E48A7" w:rsidRDefault="5AE2DBD3" w:rsidP="5AE2DBD3">
      <w:pPr>
        <w:pStyle w:val="FootnoteText"/>
        <w:rPr>
          <w:rFonts w:ascii="Times New Roman" w:hAnsi="Times New Roman" w:cs="Times New Roman"/>
        </w:rPr>
      </w:pPr>
      <w:r w:rsidRPr="009E48A7">
        <w:rPr>
          <w:rStyle w:val="FootnoteReference"/>
          <w:rFonts w:ascii="Times New Roman" w:hAnsi="Times New Roman" w:cs="Times New Roman"/>
        </w:rPr>
        <w:footnoteRef/>
      </w:r>
      <w:r w:rsidRPr="009E48A7">
        <w:rPr>
          <w:rFonts w:ascii="Times New Roman" w:hAnsi="Times New Roman" w:cs="Times New Roman"/>
        </w:rPr>
        <w:t xml:space="preserve"> https://sciencebasedtargets.org/target-dashboard</w:t>
      </w:r>
    </w:p>
  </w:footnote>
  <w:footnote w:id="8">
    <w:p w14:paraId="01C0B0FE" w14:textId="7A68722B" w:rsidR="5AE2DBD3" w:rsidRPr="009E48A7" w:rsidRDefault="5AE2DBD3" w:rsidP="5AE2DBD3">
      <w:pPr>
        <w:pStyle w:val="FootnoteText"/>
        <w:rPr>
          <w:rFonts w:ascii="Times New Roman" w:hAnsi="Times New Roman" w:cs="Times New Roman"/>
        </w:rPr>
      </w:pPr>
      <w:r w:rsidRPr="009E48A7">
        <w:rPr>
          <w:rStyle w:val="FootnoteReference"/>
          <w:rFonts w:ascii="Times New Roman" w:hAnsi="Times New Roman" w:cs="Times New Roman"/>
        </w:rPr>
        <w:footnoteRef/>
      </w:r>
      <w:r w:rsidRPr="009E48A7">
        <w:rPr>
          <w:rFonts w:ascii="Times New Roman" w:hAnsi="Times New Roman" w:cs="Times New Roman"/>
        </w:rPr>
        <w:t xml:space="preserve"> https://www.elevancehealth.com/content/dam/elevance-health/documents/ELV_2023_Impact_Report.pdf</w:t>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65103"/>
    <w:multiLevelType w:val="hybridMultilevel"/>
    <w:tmpl w:val="684E0328"/>
    <w:lvl w:ilvl="0" w:tplc="8F0897BA">
      <w:start w:val="1"/>
      <w:numFmt w:val="decimal"/>
      <w:lvlText w:val="%1."/>
      <w:lvlJc w:val="left"/>
      <w:pPr>
        <w:ind w:left="720" w:hanging="360"/>
      </w:pPr>
      <w:rPr>
        <w:rFonts w:ascii="Calibri" w:hAnsi="Calibri" w:hint="default"/>
      </w:rPr>
    </w:lvl>
    <w:lvl w:ilvl="1" w:tplc="1F4E3ABA">
      <w:start w:val="1"/>
      <w:numFmt w:val="lowerLetter"/>
      <w:lvlText w:val="%2."/>
      <w:lvlJc w:val="left"/>
      <w:pPr>
        <w:ind w:left="1440" w:hanging="360"/>
      </w:pPr>
    </w:lvl>
    <w:lvl w:ilvl="2" w:tplc="6B6694C0">
      <w:start w:val="1"/>
      <w:numFmt w:val="lowerRoman"/>
      <w:lvlText w:val="%3."/>
      <w:lvlJc w:val="right"/>
      <w:pPr>
        <w:ind w:left="2160" w:hanging="180"/>
      </w:pPr>
    </w:lvl>
    <w:lvl w:ilvl="3" w:tplc="EE5CDA1E">
      <w:start w:val="1"/>
      <w:numFmt w:val="decimal"/>
      <w:lvlText w:val="%4."/>
      <w:lvlJc w:val="left"/>
      <w:pPr>
        <w:ind w:left="2880" w:hanging="360"/>
      </w:pPr>
    </w:lvl>
    <w:lvl w:ilvl="4" w:tplc="3D4A9CD2">
      <w:start w:val="1"/>
      <w:numFmt w:val="lowerLetter"/>
      <w:lvlText w:val="%5."/>
      <w:lvlJc w:val="left"/>
      <w:pPr>
        <w:ind w:left="3600" w:hanging="360"/>
      </w:pPr>
    </w:lvl>
    <w:lvl w:ilvl="5" w:tplc="C3948D3E">
      <w:start w:val="1"/>
      <w:numFmt w:val="lowerRoman"/>
      <w:lvlText w:val="%6."/>
      <w:lvlJc w:val="right"/>
      <w:pPr>
        <w:ind w:left="4320" w:hanging="180"/>
      </w:pPr>
    </w:lvl>
    <w:lvl w:ilvl="6" w:tplc="1FF20352">
      <w:start w:val="1"/>
      <w:numFmt w:val="decimal"/>
      <w:lvlText w:val="%7."/>
      <w:lvlJc w:val="left"/>
      <w:pPr>
        <w:ind w:left="5040" w:hanging="360"/>
      </w:pPr>
    </w:lvl>
    <w:lvl w:ilvl="7" w:tplc="D3EC9B58">
      <w:start w:val="1"/>
      <w:numFmt w:val="lowerLetter"/>
      <w:lvlText w:val="%8."/>
      <w:lvlJc w:val="left"/>
      <w:pPr>
        <w:ind w:left="5760" w:hanging="360"/>
      </w:pPr>
    </w:lvl>
    <w:lvl w:ilvl="8" w:tplc="F59E301A">
      <w:start w:val="1"/>
      <w:numFmt w:val="lowerRoman"/>
      <w:lvlText w:val="%9."/>
      <w:lvlJc w:val="right"/>
      <w:pPr>
        <w:ind w:left="6480" w:hanging="180"/>
      </w:pPr>
    </w:lvl>
  </w:abstractNum>
  <w:abstractNum w:abstractNumId="1" w15:restartNumberingAfterBreak="0">
    <w:nsid w:val="2AE068F3"/>
    <w:multiLevelType w:val="hybridMultilevel"/>
    <w:tmpl w:val="4BF8ECA2"/>
    <w:lvl w:ilvl="0" w:tplc="AAD2EBF4">
      <w:start w:val="1"/>
      <w:numFmt w:val="bullet"/>
      <w:lvlText w:val=""/>
      <w:lvlJc w:val="left"/>
      <w:pPr>
        <w:ind w:left="1080" w:hanging="360"/>
      </w:pPr>
      <w:rPr>
        <w:rFonts w:ascii="Symbol" w:hAnsi="Symbol" w:hint="default"/>
      </w:rPr>
    </w:lvl>
    <w:lvl w:ilvl="1" w:tplc="81EE2C94">
      <w:start w:val="1"/>
      <w:numFmt w:val="bullet"/>
      <w:lvlText w:val="o"/>
      <w:lvlJc w:val="left"/>
      <w:pPr>
        <w:ind w:left="1800" w:hanging="360"/>
      </w:pPr>
      <w:rPr>
        <w:rFonts w:ascii="Courier New" w:hAnsi="Courier New" w:hint="default"/>
      </w:rPr>
    </w:lvl>
    <w:lvl w:ilvl="2" w:tplc="72B86FF4">
      <w:start w:val="1"/>
      <w:numFmt w:val="bullet"/>
      <w:lvlText w:val=""/>
      <w:lvlJc w:val="left"/>
      <w:pPr>
        <w:ind w:left="2520" w:hanging="360"/>
      </w:pPr>
      <w:rPr>
        <w:rFonts w:ascii="Wingdings" w:hAnsi="Wingdings" w:hint="default"/>
      </w:rPr>
    </w:lvl>
    <w:lvl w:ilvl="3" w:tplc="696CEBFC">
      <w:start w:val="1"/>
      <w:numFmt w:val="bullet"/>
      <w:lvlText w:val=""/>
      <w:lvlJc w:val="left"/>
      <w:pPr>
        <w:ind w:left="3240" w:hanging="360"/>
      </w:pPr>
      <w:rPr>
        <w:rFonts w:ascii="Symbol" w:hAnsi="Symbol" w:hint="default"/>
      </w:rPr>
    </w:lvl>
    <w:lvl w:ilvl="4" w:tplc="C15A4618">
      <w:start w:val="1"/>
      <w:numFmt w:val="bullet"/>
      <w:lvlText w:val="o"/>
      <w:lvlJc w:val="left"/>
      <w:pPr>
        <w:ind w:left="3960" w:hanging="360"/>
      </w:pPr>
      <w:rPr>
        <w:rFonts w:ascii="Courier New" w:hAnsi="Courier New" w:hint="default"/>
      </w:rPr>
    </w:lvl>
    <w:lvl w:ilvl="5" w:tplc="52E0ABFC">
      <w:start w:val="1"/>
      <w:numFmt w:val="bullet"/>
      <w:lvlText w:val=""/>
      <w:lvlJc w:val="left"/>
      <w:pPr>
        <w:ind w:left="4680" w:hanging="360"/>
      </w:pPr>
      <w:rPr>
        <w:rFonts w:ascii="Wingdings" w:hAnsi="Wingdings" w:hint="default"/>
      </w:rPr>
    </w:lvl>
    <w:lvl w:ilvl="6" w:tplc="8490022A">
      <w:start w:val="1"/>
      <w:numFmt w:val="bullet"/>
      <w:lvlText w:val=""/>
      <w:lvlJc w:val="left"/>
      <w:pPr>
        <w:ind w:left="5400" w:hanging="360"/>
      </w:pPr>
      <w:rPr>
        <w:rFonts w:ascii="Symbol" w:hAnsi="Symbol" w:hint="default"/>
      </w:rPr>
    </w:lvl>
    <w:lvl w:ilvl="7" w:tplc="64D23052">
      <w:start w:val="1"/>
      <w:numFmt w:val="bullet"/>
      <w:lvlText w:val="o"/>
      <w:lvlJc w:val="left"/>
      <w:pPr>
        <w:ind w:left="6120" w:hanging="360"/>
      </w:pPr>
      <w:rPr>
        <w:rFonts w:ascii="Courier New" w:hAnsi="Courier New" w:hint="default"/>
      </w:rPr>
    </w:lvl>
    <w:lvl w:ilvl="8" w:tplc="441440A0">
      <w:start w:val="1"/>
      <w:numFmt w:val="bullet"/>
      <w:lvlText w:val=""/>
      <w:lvlJc w:val="left"/>
      <w:pPr>
        <w:ind w:left="6840" w:hanging="360"/>
      </w:pPr>
      <w:rPr>
        <w:rFonts w:ascii="Wingdings" w:hAnsi="Wingdings" w:hint="default"/>
      </w:rPr>
    </w:lvl>
  </w:abstractNum>
  <w:abstractNum w:abstractNumId="2" w15:restartNumberingAfterBreak="0">
    <w:nsid w:val="3241BE9C"/>
    <w:multiLevelType w:val="hybridMultilevel"/>
    <w:tmpl w:val="AE581B82"/>
    <w:lvl w:ilvl="0" w:tplc="970AFD62">
      <w:start w:val="1"/>
      <w:numFmt w:val="decimal"/>
      <w:lvlText w:val="%1."/>
      <w:lvlJc w:val="left"/>
      <w:pPr>
        <w:ind w:left="720" w:hanging="360"/>
      </w:pPr>
    </w:lvl>
    <w:lvl w:ilvl="1" w:tplc="2132F1B8">
      <w:start w:val="1"/>
      <w:numFmt w:val="lowerLetter"/>
      <w:lvlText w:val="%2."/>
      <w:lvlJc w:val="left"/>
      <w:pPr>
        <w:ind w:left="1440" w:hanging="360"/>
      </w:pPr>
    </w:lvl>
    <w:lvl w:ilvl="2" w:tplc="C946F670">
      <w:start w:val="1"/>
      <w:numFmt w:val="lowerRoman"/>
      <w:lvlText w:val="%3."/>
      <w:lvlJc w:val="right"/>
      <w:pPr>
        <w:ind w:left="2160" w:hanging="180"/>
      </w:pPr>
    </w:lvl>
    <w:lvl w:ilvl="3" w:tplc="F28ED772">
      <w:start w:val="1"/>
      <w:numFmt w:val="decimal"/>
      <w:lvlText w:val="%4."/>
      <w:lvlJc w:val="left"/>
      <w:pPr>
        <w:ind w:left="2880" w:hanging="360"/>
      </w:pPr>
    </w:lvl>
    <w:lvl w:ilvl="4" w:tplc="D16A7FFE">
      <w:start w:val="1"/>
      <w:numFmt w:val="lowerLetter"/>
      <w:lvlText w:val="%5."/>
      <w:lvlJc w:val="left"/>
      <w:pPr>
        <w:ind w:left="3600" w:hanging="360"/>
      </w:pPr>
    </w:lvl>
    <w:lvl w:ilvl="5" w:tplc="CE5658D4">
      <w:start w:val="1"/>
      <w:numFmt w:val="lowerRoman"/>
      <w:lvlText w:val="%6."/>
      <w:lvlJc w:val="right"/>
      <w:pPr>
        <w:ind w:left="4320" w:hanging="180"/>
      </w:pPr>
    </w:lvl>
    <w:lvl w:ilvl="6" w:tplc="1F6A936C">
      <w:start w:val="1"/>
      <w:numFmt w:val="decimal"/>
      <w:lvlText w:val="%7."/>
      <w:lvlJc w:val="left"/>
      <w:pPr>
        <w:ind w:left="5040" w:hanging="360"/>
      </w:pPr>
    </w:lvl>
    <w:lvl w:ilvl="7" w:tplc="1FDEE20C">
      <w:start w:val="1"/>
      <w:numFmt w:val="lowerLetter"/>
      <w:lvlText w:val="%8."/>
      <w:lvlJc w:val="left"/>
      <w:pPr>
        <w:ind w:left="5760" w:hanging="360"/>
      </w:pPr>
    </w:lvl>
    <w:lvl w:ilvl="8" w:tplc="82709FEE">
      <w:start w:val="1"/>
      <w:numFmt w:val="lowerRoman"/>
      <w:lvlText w:val="%9."/>
      <w:lvlJc w:val="right"/>
      <w:pPr>
        <w:ind w:left="6480" w:hanging="180"/>
      </w:pPr>
    </w:lvl>
  </w:abstractNum>
  <w:abstractNum w:abstractNumId="3" w15:restartNumberingAfterBreak="0">
    <w:nsid w:val="43AB00D4"/>
    <w:multiLevelType w:val="hybridMultilevel"/>
    <w:tmpl w:val="555C04DC"/>
    <w:lvl w:ilvl="0" w:tplc="D1FE8DDC">
      <w:start w:val="1"/>
      <w:numFmt w:val="bullet"/>
      <w:lvlText w:val=""/>
      <w:lvlJc w:val="left"/>
      <w:pPr>
        <w:ind w:left="720" w:hanging="360"/>
      </w:pPr>
      <w:rPr>
        <w:rFonts w:ascii="Symbol" w:hAnsi="Symbol" w:hint="default"/>
      </w:rPr>
    </w:lvl>
    <w:lvl w:ilvl="1" w:tplc="A78C174C">
      <w:start w:val="1"/>
      <w:numFmt w:val="bullet"/>
      <w:lvlText w:val="o"/>
      <w:lvlJc w:val="left"/>
      <w:pPr>
        <w:ind w:left="1440" w:hanging="360"/>
      </w:pPr>
      <w:rPr>
        <w:rFonts w:ascii="Courier New" w:hAnsi="Courier New" w:hint="default"/>
      </w:rPr>
    </w:lvl>
    <w:lvl w:ilvl="2" w:tplc="1D941D82">
      <w:start w:val="1"/>
      <w:numFmt w:val="bullet"/>
      <w:lvlText w:val=""/>
      <w:lvlJc w:val="left"/>
      <w:pPr>
        <w:ind w:left="2160" w:hanging="360"/>
      </w:pPr>
      <w:rPr>
        <w:rFonts w:ascii="Wingdings" w:hAnsi="Wingdings" w:hint="default"/>
      </w:rPr>
    </w:lvl>
    <w:lvl w:ilvl="3" w:tplc="7A8CBC36">
      <w:start w:val="1"/>
      <w:numFmt w:val="bullet"/>
      <w:lvlText w:val=""/>
      <w:lvlJc w:val="left"/>
      <w:pPr>
        <w:ind w:left="2880" w:hanging="360"/>
      </w:pPr>
      <w:rPr>
        <w:rFonts w:ascii="Symbol" w:hAnsi="Symbol" w:hint="default"/>
      </w:rPr>
    </w:lvl>
    <w:lvl w:ilvl="4" w:tplc="049E7D0A">
      <w:start w:val="1"/>
      <w:numFmt w:val="bullet"/>
      <w:lvlText w:val="o"/>
      <w:lvlJc w:val="left"/>
      <w:pPr>
        <w:ind w:left="3600" w:hanging="360"/>
      </w:pPr>
      <w:rPr>
        <w:rFonts w:ascii="Courier New" w:hAnsi="Courier New" w:hint="default"/>
      </w:rPr>
    </w:lvl>
    <w:lvl w:ilvl="5" w:tplc="8FD8C3DA">
      <w:start w:val="1"/>
      <w:numFmt w:val="bullet"/>
      <w:lvlText w:val=""/>
      <w:lvlJc w:val="left"/>
      <w:pPr>
        <w:ind w:left="4320" w:hanging="360"/>
      </w:pPr>
      <w:rPr>
        <w:rFonts w:ascii="Wingdings" w:hAnsi="Wingdings" w:hint="default"/>
      </w:rPr>
    </w:lvl>
    <w:lvl w:ilvl="6" w:tplc="35D6AFE2">
      <w:start w:val="1"/>
      <w:numFmt w:val="bullet"/>
      <w:lvlText w:val=""/>
      <w:lvlJc w:val="left"/>
      <w:pPr>
        <w:ind w:left="5040" w:hanging="360"/>
      </w:pPr>
      <w:rPr>
        <w:rFonts w:ascii="Symbol" w:hAnsi="Symbol" w:hint="default"/>
      </w:rPr>
    </w:lvl>
    <w:lvl w:ilvl="7" w:tplc="E7B49640">
      <w:start w:val="1"/>
      <w:numFmt w:val="bullet"/>
      <w:lvlText w:val="o"/>
      <w:lvlJc w:val="left"/>
      <w:pPr>
        <w:ind w:left="5760" w:hanging="360"/>
      </w:pPr>
      <w:rPr>
        <w:rFonts w:ascii="Courier New" w:hAnsi="Courier New" w:hint="default"/>
      </w:rPr>
    </w:lvl>
    <w:lvl w:ilvl="8" w:tplc="8F5C1FE6">
      <w:start w:val="1"/>
      <w:numFmt w:val="bullet"/>
      <w:lvlText w:val=""/>
      <w:lvlJc w:val="left"/>
      <w:pPr>
        <w:ind w:left="6480" w:hanging="360"/>
      </w:pPr>
      <w:rPr>
        <w:rFonts w:ascii="Wingdings" w:hAnsi="Wingdings" w:hint="default"/>
      </w:rPr>
    </w:lvl>
  </w:abstractNum>
  <w:abstractNum w:abstractNumId="4" w15:restartNumberingAfterBreak="0">
    <w:nsid w:val="4751366E"/>
    <w:multiLevelType w:val="hybridMultilevel"/>
    <w:tmpl w:val="B0B24440"/>
    <w:lvl w:ilvl="0" w:tplc="98B2901E">
      <w:start w:val="1"/>
      <w:numFmt w:val="bullet"/>
      <w:lvlText w:val=""/>
      <w:lvlJc w:val="left"/>
      <w:pPr>
        <w:ind w:left="720" w:hanging="360"/>
      </w:pPr>
      <w:rPr>
        <w:rFonts w:ascii="Symbol" w:hAnsi="Symbol" w:hint="default"/>
      </w:rPr>
    </w:lvl>
    <w:lvl w:ilvl="1" w:tplc="31085846">
      <w:start w:val="1"/>
      <w:numFmt w:val="bullet"/>
      <w:lvlText w:val="o"/>
      <w:lvlJc w:val="left"/>
      <w:pPr>
        <w:ind w:left="1440" w:hanging="360"/>
      </w:pPr>
      <w:rPr>
        <w:rFonts w:ascii="Courier New" w:hAnsi="Courier New" w:hint="default"/>
      </w:rPr>
    </w:lvl>
    <w:lvl w:ilvl="2" w:tplc="E5A0EE6A">
      <w:start w:val="1"/>
      <w:numFmt w:val="bullet"/>
      <w:lvlText w:val=""/>
      <w:lvlJc w:val="left"/>
      <w:pPr>
        <w:ind w:left="2160" w:hanging="360"/>
      </w:pPr>
      <w:rPr>
        <w:rFonts w:ascii="Wingdings" w:hAnsi="Wingdings" w:hint="default"/>
      </w:rPr>
    </w:lvl>
    <w:lvl w:ilvl="3" w:tplc="F32461DA">
      <w:start w:val="1"/>
      <w:numFmt w:val="bullet"/>
      <w:lvlText w:val=""/>
      <w:lvlJc w:val="left"/>
      <w:pPr>
        <w:ind w:left="2880" w:hanging="360"/>
      </w:pPr>
      <w:rPr>
        <w:rFonts w:ascii="Symbol" w:hAnsi="Symbol" w:hint="default"/>
      </w:rPr>
    </w:lvl>
    <w:lvl w:ilvl="4" w:tplc="4EE2A7EE">
      <w:start w:val="1"/>
      <w:numFmt w:val="bullet"/>
      <w:lvlText w:val="o"/>
      <w:lvlJc w:val="left"/>
      <w:pPr>
        <w:ind w:left="3600" w:hanging="360"/>
      </w:pPr>
      <w:rPr>
        <w:rFonts w:ascii="Courier New" w:hAnsi="Courier New" w:hint="default"/>
      </w:rPr>
    </w:lvl>
    <w:lvl w:ilvl="5" w:tplc="EC2CD4EC">
      <w:start w:val="1"/>
      <w:numFmt w:val="bullet"/>
      <w:lvlText w:val=""/>
      <w:lvlJc w:val="left"/>
      <w:pPr>
        <w:ind w:left="4320" w:hanging="360"/>
      </w:pPr>
      <w:rPr>
        <w:rFonts w:ascii="Wingdings" w:hAnsi="Wingdings" w:hint="default"/>
      </w:rPr>
    </w:lvl>
    <w:lvl w:ilvl="6" w:tplc="E62EEF1A">
      <w:start w:val="1"/>
      <w:numFmt w:val="bullet"/>
      <w:lvlText w:val=""/>
      <w:lvlJc w:val="left"/>
      <w:pPr>
        <w:ind w:left="5040" w:hanging="360"/>
      </w:pPr>
      <w:rPr>
        <w:rFonts w:ascii="Symbol" w:hAnsi="Symbol" w:hint="default"/>
      </w:rPr>
    </w:lvl>
    <w:lvl w:ilvl="7" w:tplc="4E7C5E80">
      <w:start w:val="1"/>
      <w:numFmt w:val="bullet"/>
      <w:lvlText w:val="o"/>
      <w:lvlJc w:val="left"/>
      <w:pPr>
        <w:ind w:left="5760" w:hanging="360"/>
      </w:pPr>
      <w:rPr>
        <w:rFonts w:ascii="Courier New" w:hAnsi="Courier New" w:hint="default"/>
      </w:rPr>
    </w:lvl>
    <w:lvl w:ilvl="8" w:tplc="EB4C4150">
      <w:start w:val="1"/>
      <w:numFmt w:val="bullet"/>
      <w:lvlText w:val=""/>
      <w:lvlJc w:val="left"/>
      <w:pPr>
        <w:ind w:left="6480" w:hanging="360"/>
      </w:pPr>
      <w:rPr>
        <w:rFonts w:ascii="Wingdings" w:hAnsi="Wingdings" w:hint="default"/>
      </w:rPr>
    </w:lvl>
  </w:abstractNum>
  <w:abstractNum w:abstractNumId="5" w15:restartNumberingAfterBreak="0">
    <w:nsid w:val="476DF909"/>
    <w:multiLevelType w:val="hybridMultilevel"/>
    <w:tmpl w:val="5BCC2DB4"/>
    <w:lvl w:ilvl="0" w:tplc="D6143FF4">
      <w:start w:val="1"/>
      <w:numFmt w:val="decimal"/>
      <w:lvlText w:val="%1."/>
      <w:lvlJc w:val="left"/>
      <w:pPr>
        <w:ind w:left="720" w:hanging="360"/>
      </w:pPr>
    </w:lvl>
    <w:lvl w:ilvl="1" w:tplc="E59C4AE0">
      <w:start w:val="1"/>
      <w:numFmt w:val="lowerLetter"/>
      <w:lvlText w:val="%2."/>
      <w:lvlJc w:val="left"/>
      <w:pPr>
        <w:ind w:left="1440" w:hanging="360"/>
      </w:pPr>
    </w:lvl>
    <w:lvl w:ilvl="2" w:tplc="EB908EF6">
      <w:start w:val="1"/>
      <w:numFmt w:val="lowerRoman"/>
      <w:lvlText w:val="%3."/>
      <w:lvlJc w:val="right"/>
      <w:pPr>
        <w:ind w:left="2160" w:hanging="180"/>
      </w:pPr>
    </w:lvl>
    <w:lvl w:ilvl="3" w:tplc="13A62C5E">
      <w:start w:val="1"/>
      <w:numFmt w:val="decimal"/>
      <w:lvlText w:val="%4."/>
      <w:lvlJc w:val="left"/>
      <w:pPr>
        <w:ind w:left="2880" w:hanging="360"/>
      </w:pPr>
    </w:lvl>
    <w:lvl w:ilvl="4" w:tplc="72C0CB68">
      <w:start w:val="1"/>
      <w:numFmt w:val="lowerLetter"/>
      <w:lvlText w:val="%5."/>
      <w:lvlJc w:val="left"/>
      <w:pPr>
        <w:ind w:left="3600" w:hanging="360"/>
      </w:pPr>
    </w:lvl>
    <w:lvl w:ilvl="5" w:tplc="0A84E55E">
      <w:start w:val="1"/>
      <w:numFmt w:val="lowerRoman"/>
      <w:lvlText w:val="%6."/>
      <w:lvlJc w:val="right"/>
      <w:pPr>
        <w:ind w:left="4320" w:hanging="180"/>
      </w:pPr>
    </w:lvl>
    <w:lvl w:ilvl="6" w:tplc="C7849896">
      <w:start w:val="1"/>
      <w:numFmt w:val="decimal"/>
      <w:lvlText w:val="%7."/>
      <w:lvlJc w:val="left"/>
      <w:pPr>
        <w:ind w:left="5040" w:hanging="360"/>
      </w:pPr>
    </w:lvl>
    <w:lvl w:ilvl="7" w:tplc="2318A59E">
      <w:start w:val="1"/>
      <w:numFmt w:val="lowerLetter"/>
      <w:lvlText w:val="%8."/>
      <w:lvlJc w:val="left"/>
      <w:pPr>
        <w:ind w:left="5760" w:hanging="360"/>
      </w:pPr>
    </w:lvl>
    <w:lvl w:ilvl="8" w:tplc="22B84D50">
      <w:start w:val="1"/>
      <w:numFmt w:val="lowerRoman"/>
      <w:lvlText w:val="%9."/>
      <w:lvlJc w:val="right"/>
      <w:pPr>
        <w:ind w:left="6480" w:hanging="180"/>
      </w:pPr>
    </w:lvl>
  </w:abstractNum>
  <w:abstractNum w:abstractNumId="6" w15:restartNumberingAfterBreak="0">
    <w:nsid w:val="58B78A10"/>
    <w:multiLevelType w:val="hybridMultilevel"/>
    <w:tmpl w:val="6ACED24C"/>
    <w:lvl w:ilvl="0" w:tplc="5900E066">
      <w:start w:val="1"/>
      <w:numFmt w:val="bullet"/>
      <w:lvlText w:val="-"/>
      <w:lvlJc w:val="left"/>
      <w:pPr>
        <w:ind w:left="720" w:hanging="360"/>
      </w:pPr>
      <w:rPr>
        <w:rFonts w:ascii="Aptos" w:hAnsi="Aptos" w:hint="default"/>
      </w:rPr>
    </w:lvl>
    <w:lvl w:ilvl="1" w:tplc="3B50F84C">
      <w:start w:val="1"/>
      <w:numFmt w:val="bullet"/>
      <w:lvlText w:val="o"/>
      <w:lvlJc w:val="left"/>
      <w:pPr>
        <w:ind w:left="1440" w:hanging="360"/>
      </w:pPr>
      <w:rPr>
        <w:rFonts w:ascii="Courier New" w:hAnsi="Courier New" w:hint="default"/>
      </w:rPr>
    </w:lvl>
    <w:lvl w:ilvl="2" w:tplc="21AC32CE">
      <w:start w:val="1"/>
      <w:numFmt w:val="bullet"/>
      <w:lvlText w:val=""/>
      <w:lvlJc w:val="left"/>
      <w:pPr>
        <w:ind w:left="2160" w:hanging="360"/>
      </w:pPr>
      <w:rPr>
        <w:rFonts w:ascii="Wingdings" w:hAnsi="Wingdings" w:hint="default"/>
      </w:rPr>
    </w:lvl>
    <w:lvl w:ilvl="3" w:tplc="625CEFEC">
      <w:start w:val="1"/>
      <w:numFmt w:val="bullet"/>
      <w:lvlText w:val=""/>
      <w:lvlJc w:val="left"/>
      <w:pPr>
        <w:ind w:left="2880" w:hanging="360"/>
      </w:pPr>
      <w:rPr>
        <w:rFonts w:ascii="Symbol" w:hAnsi="Symbol" w:hint="default"/>
      </w:rPr>
    </w:lvl>
    <w:lvl w:ilvl="4" w:tplc="BDA27C7E">
      <w:start w:val="1"/>
      <w:numFmt w:val="bullet"/>
      <w:lvlText w:val="o"/>
      <w:lvlJc w:val="left"/>
      <w:pPr>
        <w:ind w:left="3600" w:hanging="360"/>
      </w:pPr>
      <w:rPr>
        <w:rFonts w:ascii="Courier New" w:hAnsi="Courier New" w:hint="default"/>
      </w:rPr>
    </w:lvl>
    <w:lvl w:ilvl="5" w:tplc="5C1E472A">
      <w:start w:val="1"/>
      <w:numFmt w:val="bullet"/>
      <w:lvlText w:val=""/>
      <w:lvlJc w:val="left"/>
      <w:pPr>
        <w:ind w:left="4320" w:hanging="360"/>
      </w:pPr>
      <w:rPr>
        <w:rFonts w:ascii="Wingdings" w:hAnsi="Wingdings" w:hint="default"/>
      </w:rPr>
    </w:lvl>
    <w:lvl w:ilvl="6" w:tplc="946456BA">
      <w:start w:val="1"/>
      <w:numFmt w:val="bullet"/>
      <w:lvlText w:val=""/>
      <w:lvlJc w:val="left"/>
      <w:pPr>
        <w:ind w:left="5040" w:hanging="360"/>
      </w:pPr>
      <w:rPr>
        <w:rFonts w:ascii="Symbol" w:hAnsi="Symbol" w:hint="default"/>
      </w:rPr>
    </w:lvl>
    <w:lvl w:ilvl="7" w:tplc="AB7C5EB0">
      <w:start w:val="1"/>
      <w:numFmt w:val="bullet"/>
      <w:lvlText w:val="o"/>
      <w:lvlJc w:val="left"/>
      <w:pPr>
        <w:ind w:left="5760" w:hanging="360"/>
      </w:pPr>
      <w:rPr>
        <w:rFonts w:ascii="Courier New" w:hAnsi="Courier New" w:hint="default"/>
      </w:rPr>
    </w:lvl>
    <w:lvl w:ilvl="8" w:tplc="034CDDCA">
      <w:start w:val="1"/>
      <w:numFmt w:val="bullet"/>
      <w:lvlText w:val=""/>
      <w:lvlJc w:val="left"/>
      <w:pPr>
        <w:ind w:left="6480" w:hanging="360"/>
      </w:pPr>
      <w:rPr>
        <w:rFonts w:ascii="Wingdings" w:hAnsi="Wingdings" w:hint="default"/>
      </w:rPr>
    </w:lvl>
  </w:abstractNum>
  <w:abstractNum w:abstractNumId="7" w15:restartNumberingAfterBreak="0">
    <w:nsid w:val="6A34B66A"/>
    <w:multiLevelType w:val="hybridMultilevel"/>
    <w:tmpl w:val="D8E2FFA0"/>
    <w:lvl w:ilvl="0" w:tplc="37006BB2">
      <w:start w:val="1"/>
      <w:numFmt w:val="decimal"/>
      <w:lvlText w:val="%1."/>
      <w:lvlJc w:val="left"/>
      <w:pPr>
        <w:ind w:left="720" w:hanging="360"/>
      </w:pPr>
    </w:lvl>
    <w:lvl w:ilvl="1" w:tplc="2A02EF3E">
      <w:start w:val="1"/>
      <w:numFmt w:val="lowerLetter"/>
      <w:lvlText w:val="%2."/>
      <w:lvlJc w:val="left"/>
      <w:pPr>
        <w:ind w:left="1440" w:hanging="360"/>
      </w:pPr>
    </w:lvl>
    <w:lvl w:ilvl="2" w:tplc="CCB0221C">
      <w:start w:val="1"/>
      <w:numFmt w:val="lowerRoman"/>
      <w:lvlText w:val="%3."/>
      <w:lvlJc w:val="right"/>
      <w:pPr>
        <w:ind w:left="2160" w:hanging="180"/>
      </w:pPr>
    </w:lvl>
    <w:lvl w:ilvl="3" w:tplc="F774DA8A">
      <w:start w:val="1"/>
      <w:numFmt w:val="decimal"/>
      <w:lvlText w:val="%4."/>
      <w:lvlJc w:val="left"/>
      <w:pPr>
        <w:ind w:left="2880" w:hanging="360"/>
      </w:pPr>
    </w:lvl>
    <w:lvl w:ilvl="4" w:tplc="6A2C71B0">
      <w:start w:val="1"/>
      <w:numFmt w:val="lowerLetter"/>
      <w:lvlText w:val="%5."/>
      <w:lvlJc w:val="left"/>
      <w:pPr>
        <w:ind w:left="3600" w:hanging="360"/>
      </w:pPr>
    </w:lvl>
    <w:lvl w:ilvl="5" w:tplc="DD9C42B0">
      <w:start w:val="1"/>
      <w:numFmt w:val="lowerRoman"/>
      <w:lvlText w:val="%6."/>
      <w:lvlJc w:val="right"/>
      <w:pPr>
        <w:ind w:left="4320" w:hanging="180"/>
      </w:pPr>
    </w:lvl>
    <w:lvl w:ilvl="6" w:tplc="C7B85014">
      <w:start w:val="1"/>
      <w:numFmt w:val="decimal"/>
      <w:lvlText w:val="%7."/>
      <w:lvlJc w:val="left"/>
      <w:pPr>
        <w:ind w:left="5040" w:hanging="360"/>
      </w:pPr>
    </w:lvl>
    <w:lvl w:ilvl="7" w:tplc="85EC0F02">
      <w:start w:val="1"/>
      <w:numFmt w:val="lowerLetter"/>
      <w:lvlText w:val="%8."/>
      <w:lvlJc w:val="left"/>
      <w:pPr>
        <w:ind w:left="5760" w:hanging="360"/>
      </w:pPr>
    </w:lvl>
    <w:lvl w:ilvl="8" w:tplc="0A26A55E">
      <w:start w:val="1"/>
      <w:numFmt w:val="lowerRoman"/>
      <w:lvlText w:val="%9."/>
      <w:lvlJc w:val="right"/>
      <w:pPr>
        <w:ind w:left="6480" w:hanging="180"/>
      </w:pPr>
    </w:lvl>
  </w:abstractNum>
  <w:num w:numId="1" w16cid:durableId="689457501">
    <w:abstractNumId w:val="3"/>
  </w:num>
  <w:num w:numId="2" w16cid:durableId="827479323">
    <w:abstractNumId w:val="5"/>
  </w:num>
  <w:num w:numId="3" w16cid:durableId="298582158">
    <w:abstractNumId w:val="2"/>
  </w:num>
  <w:num w:numId="4" w16cid:durableId="332606659">
    <w:abstractNumId w:val="7"/>
  </w:num>
  <w:num w:numId="5" w16cid:durableId="2114205122">
    <w:abstractNumId w:val="6"/>
  </w:num>
  <w:num w:numId="6" w16cid:durableId="655961182">
    <w:abstractNumId w:val="4"/>
  </w:num>
  <w:num w:numId="7" w16cid:durableId="444347525">
    <w:abstractNumId w:val="0"/>
  </w:num>
  <w:num w:numId="8" w16cid:durableId="1782774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BB17BC2"/>
    <w:rsid w:val="000134E1"/>
    <w:rsid w:val="0003522F"/>
    <w:rsid w:val="000932DD"/>
    <w:rsid w:val="000B38B5"/>
    <w:rsid w:val="00121C82"/>
    <w:rsid w:val="001F790C"/>
    <w:rsid w:val="00203C4C"/>
    <w:rsid w:val="00243941"/>
    <w:rsid w:val="002537F5"/>
    <w:rsid w:val="002D4CED"/>
    <w:rsid w:val="00322FD6"/>
    <w:rsid w:val="0033BE14"/>
    <w:rsid w:val="00396E6E"/>
    <w:rsid w:val="00434F26"/>
    <w:rsid w:val="004EB9B1"/>
    <w:rsid w:val="005B108B"/>
    <w:rsid w:val="005F5DAF"/>
    <w:rsid w:val="006071AD"/>
    <w:rsid w:val="006D2D9E"/>
    <w:rsid w:val="00716FAC"/>
    <w:rsid w:val="00725F84"/>
    <w:rsid w:val="007B7301"/>
    <w:rsid w:val="007E5E54"/>
    <w:rsid w:val="007F55CC"/>
    <w:rsid w:val="00805281"/>
    <w:rsid w:val="00941CC7"/>
    <w:rsid w:val="009E48A7"/>
    <w:rsid w:val="009E65DA"/>
    <w:rsid w:val="00A39767"/>
    <w:rsid w:val="00A73DDE"/>
    <w:rsid w:val="00BD66DA"/>
    <w:rsid w:val="00C236D3"/>
    <w:rsid w:val="00C666FB"/>
    <w:rsid w:val="00CF3430"/>
    <w:rsid w:val="00D300F8"/>
    <w:rsid w:val="00D31A2A"/>
    <w:rsid w:val="00DD4D10"/>
    <w:rsid w:val="00E05CE9"/>
    <w:rsid w:val="00E76425"/>
    <w:rsid w:val="00F25D47"/>
    <w:rsid w:val="01AF5F05"/>
    <w:rsid w:val="0248F390"/>
    <w:rsid w:val="03096D4A"/>
    <w:rsid w:val="030E851E"/>
    <w:rsid w:val="033821CE"/>
    <w:rsid w:val="038291DA"/>
    <w:rsid w:val="03A1D2B1"/>
    <w:rsid w:val="03C89CC8"/>
    <w:rsid w:val="03F8FE5D"/>
    <w:rsid w:val="045ABCE8"/>
    <w:rsid w:val="0470414B"/>
    <w:rsid w:val="04C5B83E"/>
    <w:rsid w:val="04F65302"/>
    <w:rsid w:val="05099E08"/>
    <w:rsid w:val="054CB657"/>
    <w:rsid w:val="05A37183"/>
    <w:rsid w:val="061A9BD5"/>
    <w:rsid w:val="0629AFB1"/>
    <w:rsid w:val="062FEF4E"/>
    <w:rsid w:val="065027E4"/>
    <w:rsid w:val="06E71FC0"/>
    <w:rsid w:val="071C756A"/>
    <w:rsid w:val="0766BEA3"/>
    <w:rsid w:val="079E7507"/>
    <w:rsid w:val="07C13D72"/>
    <w:rsid w:val="0808F5CE"/>
    <w:rsid w:val="080FD77F"/>
    <w:rsid w:val="0846A936"/>
    <w:rsid w:val="0874A5E6"/>
    <w:rsid w:val="09203E8C"/>
    <w:rsid w:val="0921B2A4"/>
    <w:rsid w:val="095BAF54"/>
    <w:rsid w:val="09B125AA"/>
    <w:rsid w:val="09C60E1B"/>
    <w:rsid w:val="0A720B3C"/>
    <w:rsid w:val="0A80991A"/>
    <w:rsid w:val="0AE3157E"/>
    <w:rsid w:val="0B19AC1D"/>
    <w:rsid w:val="0B2D791A"/>
    <w:rsid w:val="0B39DBF3"/>
    <w:rsid w:val="0B584047"/>
    <w:rsid w:val="0B5ED911"/>
    <w:rsid w:val="0BDBD5AA"/>
    <w:rsid w:val="0BDD9413"/>
    <w:rsid w:val="0C0F206D"/>
    <w:rsid w:val="0C2D1F69"/>
    <w:rsid w:val="0C71AE88"/>
    <w:rsid w:val="0C769CE6"/>
    <w:rsid w:val="0C8A1BB8"/>
    <w:rsid w:val="0CA5C980"/>
    <w:rsid w:val="0D178452"/>
    <w:rsid w:val="0D189B01"/>
    <w:rsid w:val="0D98CEC8"/>
    <w:rsid w:val="0DEB691E"/>
    <w:rsid w:val="0E4B828C"/>
    <w:rsid w:val="0E87632C"/>
    <w:rsid w:val="0EA71692"/>
    <w:rsid w:val="0EBAA5E6"/>
    <w:rsid w:val="0EE9D9EC"/>
    <w:rsid w:val="0F4C1782"/>
    <w:rsid w:val="0F97B7E2"/>
    <w:rsid w:val="1032DFA8"/>
    <w:rsid w:val="1057D15E"/>
    <w:rsid w:val="10DAE0CC"/>
    <w:rsid w:val="10E61023"/>
    <w:rsid w:val="1118B8D9"/>
    <w:rsid w:val="1171C878"/>
    <w:rsid w:val="117CA41A"/>
    <w:rsid w:val="118ED685"/>
    <w:rsid w:val="11ACF8D5"/>
    <w:rsid w:val="11EBB8CA"/>
    <w:rsid w:val="12233F89"/>
    <w:rsid w:val="122871AD"/>
    <w:rsid w:val="1228A085"/>
    <w:rsid w:val="1270B322"/>
    <w:rsid w:val="127C8D34"/>
    <w:rsid w:val="1294FF01"/>
    <w:rsid w:val="129568A4"/>
    <w:rsid w:val="135D2A3C"/>
    <w:rsid w:val="13948B7A"/>
    <w:rsid w:val="13C1C2D6"/>
    <w:rsid w:val="13D889A5"/>
    <w:rsid w:val="13FEE215"/>
    <w:rsid w:val="13FEF883"/>
    <w:rsid w:val="1431213D"/>
    <w:rsid w:val="14690F65"/>
    <w:rsid w:val="1537E50C"/>
    <w:rsid w:val="158311BF"/>
    <w:rsid w:val="15D1D309"/>
    <w:rsid w:val="15FC1BA5"/>
    <w:rsid w:val="16322AA4"/>
    <w:rsid w:val="163E3C7B"/>
    <w:rsid w:val="17177856"/>
    <w:rsid w:val="175D5A08"/>
    <w:rsid w:val="18482BF6"/>
    <w:rsid w:val="18ABA0D8"/>
    <w:rsid w:val="197C47A4"/>
    <w:rsid w:val="19CE9294"/>
    <w:rsid w:val="1A139AB0"/>
    <w:rsid w:val="1A30E04B"/>
    <w:rsid w:val="1A6ED72A"/>
    <w:rsid w:val="1BA3B4FC"/>
    <w:rsid w:val="1BDD7515"/>
    <w:rsid w:val="1BFA4EEF"/>
    <w:rsid w:val="1C283B3C"/>
    <w:rsid w:val="1C440389"/>
    <w:rsid w:val="1C86C997"/>
    <w:rsid w:val="1C989C8A"/>
    <w:rsid w:val="1CC43BE6"/>
    <w:rsid w:val="1CD758D7"/>
    <w:rsid w:val="1CDD8234"/>
    <w:rsid w:val="1D4C7D32"/>
    <w:rsid w:val="1D4D64D1"/>
    <w:rsid w:val="1D6BB756"/>
    <w:rsid w:val="1D75F49E"/>
    <w:rsid w:val="1D783D17"/>
    <w:rsid w:val="1DD28B14"/>
    <w:rsid w:val="1DD94847"/>
    <w:rsid w:val="1DDB89D4"/>
    <w:rsid w:val="1E4689BA"/>
    <w:rsid w:val="1E47EA7F"/>
    <w:rsid w:val="1E528101"/>
    <w:rsid w:val="1E8C22A9"/>
    <w:rsid w:val="1EDAA15F"/>
    <w:rsid w:val="1EECEFFC"/>
    <w:rsid w:val="1F2095DA"/>
    <w:rsid w:val="1F4368BE"/>
    <w:rsid w:val="1FF44918"/>
    <w:rsid w:val="209EA9CA"/>
    <w:rsid w:val="210C6808"/>
    <w:rsid w:val="213EB7C8"/>
    <w:rsid w:val="2153AE06"/>
    <w:rsid w:val="21B43D69"/>
    <w:rsid w:val="21D796A6"/>
    <w:rsid w:val="21DC8F53"/>
    <w:rsid w:val="223A5CDB"/>
    <w:rsid w:val="22840667"/>
    <w:rsid w:val="2298337E"/>
    <w:rsid w:val="233E778D"/>
    <w:rsid w:val="2348211C"/>
    <w:rsid w:val="23B8E834"/>
    <w:rsid w:val="23E5F8E1"/>
    <w:rsid w:val="244D87F9"/>
    <w:rsid w:val="244E5192"/>
    <w:rsid w:val="24A27D43"/>
    <w:rsid w:val="24C3AB57"/>
    <w:rsid w:val="25B7DF9E"/>
    <w:rsid w:val="2607CEFC"/>
    <w:rsid w:val="26392998"/>
    <w:rsid w:val="26548664"/>
    <w:rsid w:val="26CE7032"/>
    <w:rsid w:val="26CF5CBB"/>
    <w:rsid w:val="274091C7"/>
    <w:rsid w:val="275ABEFB"/>
    <w:rsid w:val="27BDE733"/>
    <w:rsid w:val="27FF1715"/>
    <w:rsid w:val="2840E46E"/>
    <w:rsid w:val="2846DBF6"/>
    <w:rsid w:val="28811137"/>
    <w:rsid w:val="28C4D556"/>
    <w:rsid w:val="28D5F67B"/>
    <w:rsid w:val="293DAFD0"/>
    <w:rsid w:val="29E6A220"/>
    <w:rsid w:val="2A2356DC"/>
    <w:rsid w:val="2AFCFD76"/>
    <w:rsid w:val="2B5AB403"/>
    <w:rsid w:val="2BA18CEC"/>
    <w:rsid w:val="2BD399D6"/>
    <w:rsid w:val="2BD6FCD9"/>
    <w:rsid w:val="2CB05043"/>
    <w:rsid w:val="2CB4C590"/>
    <w:rsid w:val="2CE86331"/>
    <w:rsid w:val="2D038F20"/>
    <w:rsid w:val="2D274723"/>
    <w:rsid w:val="2D304A6C"/>
    <w:rsid w:val="2D720FEA"/>
    <w:rsid w:val="2D9462F6"/>
    <w:rsid w:val="2E52D85E"/>
    <w:rsid w:val="2EC9EE1B"/>
    <w:rsid w:val="2EDB0224"/>
    <w:rsid w:val="2F90A0B0"/>
    <w:rsid w:val="2FD5BA14"/>
    <w:rsid w:val="300A255B"/>
    <w:rsid w:val="30242E84"/>
    <w:rsid w:val="30421C7E"/>
    <w:rsid w:val="30FA3823"/>
    <w:rsid w:val="311A1D5C"/>
    <w:rsid w:val="314806AA"/>
    <w:rsid w:val="317FB9C9"/>
    <w:rsid w:val="318122BF"/>
    <w:rsid w:val="31C5A4AA"/>
    <w:rsid w:val="31F1DB80"/>
    <w:rsid w:val="31FDC162"/>
    <w:rsid w:val="3256EDDD"/>
    <w:rsid w:val="3264B5E5"/>
    <w:rsid w:val="326F919D"/>
    <w:rsid w:val="32D51BE2"/>
    <w:rsid w:val="32F2A281"/>
    <w:rsid w:val="332015D1"/>
    <w:rsid w:val="33426009"/>
    <w:rsid w:val="33EC7BB4"/>
    <w:rsid w:val="34B75A38"/>
    <w:rsid w:val="34D48AA3"/>
    <w:rsid w:val="34DE8121"/>
    <w:rsid w:val="34FB0C47"/>
    <w:rsid w:val="35A98BC4"/>
    <w:rsid w:val="35ABA005"/>
    <w:rsid w:val="35CB5062"/>
    <w:rsid w:val="36431927"/>
    <w:rsid w:val="3774B1AF"/>
    <w:rsid w:val="37C17F4C"/>
    <w:rsid w:val="37CF5E08"/>
    <w:rsid w:val="380B2FF8"/>
    <w:rsid w:val="3832CBBD"/>
    <w:rsid w:val="384B3B09"/>
    <w:rsid w:val="38938EBF"/>
    <w:rsid w:val="38DA998A"/>
    <w:rsid w:val="39041B84"/>
    <w:rsid w:val="3905841D"/>
    <w:rsid w:val="395D842C"/>
    <w:rsid w:val="39869924"/>
    <w:rsid w:val="39EF5E6E"/>
    <w:rsid w:val="3A3D6FA2"/>
    <w:rsid w:val="3A48F1E1"/>
    <w:rsid w:val="3A5EFFF5"/>
    <w:rsid w:val="3AD5D865"/>
    <w:rsid w:val="3B59BF1E"/>
    <w:rsid w:val="3B96BF36"/>
    <w:rsid w:val="3BD7FF18"/>
    <w:rsid w:val="3C09CF41"/>
    <w:rsid w:val="3C11994F"/>
    <w:rsid w:val="3C2D4584"/>
    <w:rsid w:val="3C3AE3CD"/>
    <w:rsid w:val="3C3ECA08"/>
    <w:rsid w:val="3C6DE09C"/>
    <w:rsid w:val="3C82ADED"/>
    <w:rsid w:val="3CEC80EA"/>
    <w:rsid w:val="3D11F559"/>
    <w:rsid w:val="3D851ADF"/>
    <w:rsid w:val="3D9BDAA3"/>
    <w:rsid w:val="3DA6DC8F"/>
    <w:rsid w:val="3E24B485"/>
    <w:rsid w:val="3E40BE7A"/>
    <w:rsid w:val="3E6393AB"/>
    <w:rsid w:val="3EA8CF3A"/>
    <w:rsid w:val="3EFFB299"/>
    <w:rsid w:val="3F66354A"/>
    <w:rsid w:val="3F946C04"/>
    <w:rsid w:val="40729314"/>
    <w:rsid w:val="409E4066"/>
    <w:rsid w:val="40A9EA9A"/>
    <w:rsid w:val="40B172E8"/>
    <w:rsid w:val="415AEDD5"/>
    <w:rsid w:val="418207E4"/>
    <w:rsid w:val="41F41599"/>
    <w:rsid w:val="420F20D8"/>
    <w:rsid w:val="42265A19"/>
    <w:rsid w:val="424F69C4"/>
    <w:rsid w:val="42CD9CF3"/>
    <w:rsid w:val="42D1ACD9"/>
    <w:rsid w:val="4356D605"/>
    <w:rsid w:val="43A94ABD"/>
    <w:rsid w:val="43B5FA19"/>
    <w:rsid w:val="43D59B2C"/>
    <w:rsid w:val="43DD6B3B"/>
    <w:rsid w:val="45387B67"/>
    <w:rsid w:val="45C73095"/>
    <w:rsid w:val="45FB03FB"/>
    <w:rsid w:val="464DB864"/>
    <w:rsid w:val="4650CA86"/>
    <w:rsid w:val="465884F9"/>
    <w:rsid w:val="46A11B08"/>
    <w:rsid w:val="46D351EA"/>
    <w:rsid w:val="471C7FE9"/>
    <w:rsid w:val="47399787"/>
    <w:rsid w:val="47442B8E"/>
    <w:rsid w:val="474D28D3"/>
    <w:rsid w:val="47705424"/>
    <w:rsid w:val="47B9CFB5"/>
    <w:rsid w:val="47BEF863"/>
    <w:rsid w:val="4833207B"/>
    <w:rsid w:val="485D33AF"/>
    <w:rsid w:val="489BBF07"/>
    <w:rsid w:val="48E5C3EB"/>
    <w:rsid w:val="4901E90E"/>
    <w:rsid w:val="495B65B2"/>
    <w:rsid w:val="4960221C"/>
    <w:rsid w:val="49792364"/>
    <w:rsid w:val="4A25FAE0"/>
    <w:rsid w:val="4A9CDEE7"/>
    <w:rsid w:val="4BA55BAB"/>
    <w:rsid w:val="4C283D38"/>
    <w:rsid w:val="4C35F4A9"/>
    <w:rsid w:val="4C4EB7A7"/>
    <w:rsid w:val="4C943154"/>
    <w:rsid w:val="4D717526"/>
    <w:rsid w:val="4D8CCAAA"/>
    <w:rsid w:val="4DAB50CB"/>
    <w:rsid w:val="4DE3A2FA"/>
    <w:rsid w:val="4DECDAE0"/>
    <w:rsid w:val="4E2E44EF"/>
    <w:rsid w:val="4E33406D"/>
    <w:rsid w:val="4E385BB5"/>
    <w:rsid w:val="4E3F0BF4"/>
    <w:rsid w:val="4E3FC1EF"/>
    <w:rsid w:val="4E72D6EC"/>
    <w:rsid w:val="4E76AE70"/>
    <w:rsid w:val="4E9210E0"/>
    <w:rsid w:val="4F13CF61"/>
    <w:rsid w:val="4F2C61D9"/>
    <w:rsid w:val="4F59204C"/>
    <w:rsid w:val="5009828B"/>
    <w:rsid w:val="50B349C1"/>
    <w:rsid w:val="5149671B"/>
    <w:rsid w:val="51C29100"/>
    <w:rsid w:val="51D1C299"/>
    <w:rsid w:val="51DCEF6E"/>
    <w:rsid w:val="522FD0FA"/>
    <w:rsid w:val="5269853A"/>
    <w:rsid w:val="52ACF753"/>
    <w:rsid w:val="52CE619A"/>
    <w:rsid w:val="52D04827"/>
    <w:rsid w:val="531588BE"/>
    <w:rsid w:val="53E62828"/>
    <w:rsid w:val="53F72CD6"/>
    <w:rsid w:val="5498CB0E"/>
    <w:rsid w:val="55290A46"/>
    <w:rsid w:val="55861D68"/>
    <w:rsid w:val="55C9A5FB"/>
    <w:rsid w:val="560508CE"/>
    <w:rsid w:val="565AD810"/>
    <w:rsid w:val="57028DE4"/>
    <w:rsid w:val="570B403F"/>
    <w:rsid w:val="573522C1"/>
    <w:rsid w:val="573CFE7D"/>
    <w:rsid w:val="57421FD5"/>
    <w:rsid w:val="576CE40D"/>
    <w:rsid w:val="57728714"/>
    <w:rsid w:val="5781E454"/>
    <w:rsid w:val="5781EFF4"/>
    <w:rsid w:val="57A656CC"/>
    <w:rsid w:val="57DE9097"/>
    <w:rsid w:val="57EA4192"/>
    <w:rsid w:val="584D887D"/>
    <w:rsid w:val="5852F935"/>
    <w:rsid w:val="594D0E8F"/>
    <w:rsid w:val="5953F441"/>
    <w:rsid w:val="597C0026"/>
    <w:rsid w:val="598F38ED"/>
    <w:rsid w:val="5A7585CD"/>
    <w:rsid w:val="5A88D698"/>
    <w:rsid w:val="5AB036F0"/>
    <w:rsid w:val="5AE2DBD3"/>
    <w:rsid w:val="5B72A301"/>
    <w:rsid w:val="5BC6C346"/>
    <w:rsid w:val="5BEB039A"/>
    <w:rsid w:val="5BFF1D58"/>
    <w:rsid w:val="5D2AFCEE"/>
    <w:rsid w:val="5D383CE1"/>
    <w:rsid w:val="5D4750E3"/>
    <w:rsid w:val="5DAFA366"/>
    <w:rsid w:val="5DC5A866"/>
    <w:rsid w:val="5DE7FEF8"/>
    <w:rsid w:val="5DF2DD53"/>
    <w:rsid w:val="5DFE3FB1"/>
    <w:rsid w:val="5E236CA7"/>
    <w:rsid w:val="5E300ABF"/>
    <w:rsid w:val="5EFE4A4D"/>
    <w:rsid w:val="5F448029"/>
    <w:rsid w:val="5FF3D628"/>
    <w:rsid w:val="6080059F"/>
    <w:rsid w:val="60ABD4F0"/>
    <w:rsid w:val="6112B142"/>
    <w:rsid w:val="61B07E05"/>
    <w:rsid w:val="61C1E7DB"/>
    <w:rsid w:val="62A87AFF"/>
    <w:rsid w:val="62B33C72"/>
    <w:rsid w:val="62CF90A7"/>
    <w:rsid w:val="6317AD09"/>
    <w:rsid w:val="632D1C3A"/>
    <w:rsid w:val="63814699"/>
    <w:rsid w:val="639719D0"/>
    <w:rsid w:val="63BCEA42"/>
    <w:rsid w:val="63CEBFFF"/>
    <w:rsid w:val="63E57F95"/>
    <w:rsid w:val="6444AFEE"/>
    <w:rsid w:val="64D0A317"/>
    <w:rsid w:val="64F50D6E"/>
    <w:rsid w:val="65029B60"/>
    <w:rsid w:val="654D15C1"/>
    <w:rsid w:val="6596650F"/>
    <w:rsid w:val="6598DA5A"/>
    <w:rsid w:val="66282197"/>
    <w:rsid w:val="66313413"/>
    <w:rsid w:val="66D978EF"/>
    <w:rsid w:val="66E1F9F3"/>
    <w:rsid w:val="6710D0C1"/>
    <w:rsid w:val="678E5D37"/>
    <w:rsid w:val="67D31DA0"/>
    <w:rsid w:val="67DD03D1"/>
    <w:rsid w:val="683C8D2C"/>
    <w:rsid w:val="68739955"/>
    <w:rsid w:val="6892EC8E"/>
    <w:rsid w:val="689B813D"/>
    <w:rsid w:val="68CB06C4"/>
    <w:rsid w:val="68EA5FC6"/>
    <w:rsid w:val="692BD147"/>
    <w:rsid w:val="693078E6"/>
    <w:rsid w:val="6951961C"/>
    <w:rsid w:val="69CB870C"/>
    <w:rsid w:val="69D938D7"/>
    <w:rsid w:val="69ED8ACD"/>
    <w:rsid w:val="6A1584A4"/>
    <w:rsid w:val="6A87D916"/>
    <w:rsid w:val="6B221120"/>
    <w:rsid w:val="6BB17BC2"/>
    <w:rsid w:val="6C043BEA"/>
    <w:rsid w:val="6C07926E"/>
    <w:rsid w:val="6C6443DD"/>
    <w:rsid w:val="6C8EDFFE"/>
    <w:rsid w:val="6CE76787"/>
    <w:rsid w:val="6D1C7A85"/>
    <w:rsid w:val="6DE345F6"/>
    <w:rsid w:val="6E0F129C"/>
    <w:rsid w:val="6E1E8677"/>
    <w:rsid w:val="6EBAB078"/>
    <w:rsid w:val="6FAD4569"/>
    <w:rsid w:val="70053177"/>
    <w:rsid w:val="703F7D7A"/>
    <w:rsid w:val="70663B25"/>
    <w:rsid w:val="70822BA3"/>
    <w:rsid w:val="70A645C6"/>
    <w:rsid w:val="70AE0CC9"/>
    <w:rsid w:val="70CC3C46"/>
    <w:rsid w:val="71279BC3"/>
    <w:rsid w:val="717E74C8"/>
    <w:rsid w:val="71ADD629"/>
    <w:rsid w:val="71B8492C"/>
    <w:rsid w:val="720835D0"/>
    <w:rsid w:val="721DE918"/>
    <w:rsid w:val="7278778D"/>
    <w:rsid w:val="72847718"/>
    <w:rsid w:val="732B7086"/>
    <w:rsid w:val="73706F56"/>
    <w:rsid w:val="737D0012"/>
    <w:rsid w:val="737DDEF9"/>
    <w:rsid w:val="73D34FF3"/>
    <w:rsid w:val="73E459D3"/>
    <w:rsid w:val="7404D032"/>
    <w:rsid w:val="7440C816"/>
    <w:rsid w:val="7454E7CF"/>
    <w:rsid w:val="74FE3BBA"/>
    <w:rsid w:val="7524CDA5"/>
    <w:rsid w:val="755412F6"/>
    <w:rsid w:val="75F9E175"/>
    <w:rsid w:val="760BBAB8"/>
    <w:rsid w:val="760C8FB9"/>
    <w:rsid w:val="762AC1B1"/>
    <w:rsid w:val="767B0E6C"/>
    <w:rsid w:val="769DA27C"/>
    <w:rsid w:val="76D68B12"/>
    <w:rsid w:val="77E5B26B"/>
    <w:rsid w:val="780F2C34"/>
    <w:rsid w:val="78A0307F"/>
    <w:rsid w:val="78B0CC98"/>
    <w:rsid w:val="78BABAC0"/>
    <w:rsid w:val="790DD2E1"/>
    <w:rsid w:val="791889E4"/>
    <w:rsid w:val="794330F4"/>
    <w:rsid w:val="794F1ADC"/>
    <w:rsid w:val="79A938C7"/>
    <w:rsid w:val="79D80A2C"/>
    <w:rsid w:val="79DCCD5E"/>
    <w:rsid w:val="7A71358E"/>
    <w:rsid w:val="7ABF1093"/>
    <w:rsid w:val="7BA4CA4A"/>
    <w:rsid w:val="7C3F93EB"/>
    <w:rsid w:val="7C602E0E"/>
    <w:rsid w:val="7CEAD98F"/>
    <w:rsid w:val="7D08BF82"/>
    <w:rsid w:val="7D391ED4"/>
    <w:rsid w:val="7D74D052"/>
    <w:rsid w:val="7E30D371"/>
    <w:rsid w:val="7E981F1B"/>
    <w:rsid w:val="7E9C1D62"/>
    <w:rsid w:val="7EC9A365"/>
    <w:rsid w:val="7EDC37AE"/>
    <w:rsid w:val="7EE7655E"/>
    <w:rsid w:val="7F9A88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17BC2"/>
  <w15:chartTrackingRefBased/>
  <w15:docId w15:val="{9F794024-95A6-4E28-8530-EFD56983D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40729314"/>
    <w:pPr>
      <w:ind w:left="720"/>
      <w:contextualSpacing/>
    </w:pPr>
  </w:style>
  <w:style w:type="character" w:styleId="Hyperlink">
    <w:name w:val="Hyperlink"/>
    <w:basedOn w:val="DefaultParagraphFont"/>
    <w:uiPriority w:val="99"/>
    <w:unhideWhenUsed/>
    <w:rsid w:val="63CEBFFF"/>
    <w:rPr>
      <w:color w:val="467886"/>
      <w:u w:val="single"/>
    </w:rPr>
  </w:style>
  <w:style w:type="paragraph" w:styleId="FootnoteText">
    <w:name w:val="footnote text"/>
    <w:basedOn w:val="Normal"/>
    <w:uiPriority w:val="99"/>
    <w:semiHidden/>
    <w:unhideWhenUsed/>
    <w:rsid w:val="63CEBFFF"/>
    <w:pPr>
      <w:spacing w:after="0" w:line="240" w:lineRule="auto"/>
    </w:pPr>
    <w:rPr>
      <w:sz w:val="20"/>
      <w:szCs w:val="20"/>
    </w:rPr>
  </w:style>
  <w:style w:type="character" w:styleId="FootnoteReference">
    <w:name w:val="footnote reference"/>
    <w:basedOn w:val="DefaultParagraphFont"/>
    <w:uiPriority w:val="99"/>
    <w:semiHidden/>
    <w:unhideWhenUsed/>
    <w:rPr>
      <w:vertAlign w:val="superscript"/>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03C4C"/>
    <w:rPr>
      <w:b/>
      <w:bCs/>
    </w:rPr>
  </w:style>
  <w:style w:type="character" w:customStyle="1" w:styleId="CommentSubjectChar">
    <w:name w:val="Comment Subject Char"/>
    <w:basedOn w:val="CommentTextChar"/>
    <w:link w:val="CommentSubject"/>
    <w:uiPriority w:val="99"/>
    <w:semiHidden/>
    <w:rsid w:val="00203C4C"/>
    <w:rPr>
      <w:b/>
      <w:bCs/>
      <w:sz w:val="20"/>
      <w:szCs w:val="20"/>
    </w:rPr>
  </w:style>
  <w:style w:type="paragraph" w:styleId="Header">
    <w:name w:val="header"/>
    <w:basedOn w:val="Normal"/>
    <w:link w:val="HeaderChar"/>
    <w:uiPriority w:val="99"/>
    <w:semiHidden/>
    <w:unhideWhenUsed/>
    <w:rsid w:val="0024394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43941"/>
  </w:style>
  <w:style w:type="paragraph" w:styleId="Footer">
    <w:name w:val="footer"/>
    <w:basedOn w:val="Normal"/>
    <w:link w:val="FooterChar"/>
    <w:uiPriority w:val="99"/>
    <w:semiHidden/>
    <w:unhideWhenUsed/>
    <w:rsid w:val="0024394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439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188853">
      <w:bodyDiv w:val="1"/>
      <w:marLeft w:val="0"/>
      <w:marRight w:val="0"/>
      <w:marTop w:val="0"/>
      <w:marBottom w:val="0"/>
      <w:divBdr>
        <w:top w:val="none" w:sz="0" w:space="0" w:color="auto"/>
        <w:left w:val="none" w:sz="0" w:space="0" w:color="auto"/>
        <w:bottom w:val="none" w:sz="0" w:space="0" w:color="auto"/>
        <w:right w:val="none" w:sz="0" w:space="0" w:color="auto"/>
      </w:divBdr>
      <w:divsChild>
        <w:div w:id="1529833983">
          <w:marLeft w:val="0"/>
          <w:marRight w:val="0"/>
          <w:marTop w:val="0"/>
          <w:marBottom w:val="0"/>
          <w:divBdr>
            <w:top w:val="none" w:sz="0" w:space="0" w:color="auto"/>
            <w:left w:val="none" w:sz="0" w:space="0" w:color="auto"/>
            <w:bottom w:val="none" w:sz="0" w:space="0" w:color="auto"/>
            <w:right w:val="none" w:sz="0" w:space="0" w:color="auto"/>
          </w:divBdr>
        </w:div>
      </w:divsChild>
    </w:div>
    <w:div w:id="928391607">
      <w:bodyDiv w:val="1"/>
      <w:marLeft w:val="0"/>
      <w:marRight w:val="0"/>
      <w:marTop w:val="0"/>
      <w:marBottom w:val="0"/>
      <w:divBdr>
        <w:top w:val="none" w:sz="0" w:space="0" w:color="auto"/>
        <w:left w:val="none" w:sz="0" w:space="0" w:color="auto"/>
        <w:bottom w:val="none" w:sz="0" w:space="0" w:color="auto"/>
        <w:right w:val="none" w:sz="0" w:space="0" w:color="auto"/>
      </w:divBdr>
      <w:divsChild>
        <w:div w:id="2072464868">
          <w:marLeft w:val="0"/>
          <w:marRight w:val="0"/>
          <w:marTop w:val="0"/>
          <w:marBottom w:val="0"/>
          <w:divBdr>
            <w:top w:val="none" w:sz="0" w:space="0" w:color="auto"/>
            <w:left w:val="none" w:sz="0" w:space="0" w:color="auto"/>
            <w:bottom w:val="none" w:sz="0" w:space="0" w:color="auto"/>
            <w:right w:val="none" w:sz="0" w:space="0" w:color="auto"/>
          </w:divBdr>
        </w:div>
      </w:divsChild>
    </w:div>
    <w:div w:id="1103764070">
      <w:bodyDiv w:val="1"/>
      <w:marLeft w:val="0"/>
      <w:marRight w:val="0"/>
      <w:marTop w:val="0"/>
      <w:marBottom w:val="0"/>
      <w:divBdr>
        <w:top w:val="none" w:sz="0" w:space="0" w:color="auto"/>
        <w:left w:val="none" w:sz="0" w:space="0" w:color="auto"/>
        <w:bottom w:val="none" w:sz="0" w:space="0" w:color="auto"/>
        <w:right w:val="none" w:sz="0" w:space="0" w:color="auto"/>
      </w:divBdr>
      <w:divsChild>
        <w:div w:id="482348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536D0046017184A9C0B33FE0B795D9B" ma:contentTypeVersion="19" ma:contentTypeDescription="Create a new document." ma:contentTypeScope="" ma:versionID="083109b868253c6e781c1e7f1bc1e446">
  <xsd:schema xmlns:xsd="http://www.w3.org/2001/XMLSchema" xmlns:xs="http://www.w3.org/2001/XMLSchema" xmlns:p="http://schemas.microsoft.com/office/2006/metadata/properties" xmlns:ns2="22c77547-ccd9-40af-a024-b9caa86af575" xmlns:ns3="8b370666-a8fc-4d43-b550-a994fce896a6" targetNamespace="http://schemas.microsoft.com/office/2006/metadata/properties" ma:root="true" ma:fieldsID="06a0f6840f5ce52bb86446c7f6578a99" ns2:_="" ns3:_="">
    <xsd:import namespace="22c77547-ccd9-40af-a024-b9caa86af575"/>
    <xsd:import namespace="8b370666-a8fc-4d43-b550-a994fce896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c77547-ccd9-40af-a024-b9caa86af5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863212a-8353-480a-ac72-8ef71277c4e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70666-a8fc-4d43-b550-a994fce896a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d8d458-82bd-408d-8b57-c146fefd8640}" ma:internalName="TaxCatchAll" ma:showField="CatchAllData" ma:web="8b370666-a8fc-4d43-b550-a994fce896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b370666-a8fc-4d43-b550-a994fce896a6" xsi:nil="true"/>
    <lcf76f155ced4ddcb4097134ff3c332f xmlns="22c77547-ccd9-40af-a024-b9caa86af57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90F093F-E149-0C45-AC51-EF6DCF3B5511}">
  <ds:schemaRefs>
    <ds:schemaRef ds:uri="http://schemas.openxmlformats.org/officeDocument/2006/bibliography"/>
  </ds:schemaRefs>
</ds:datastoreItem>
</file>

<file path=customXml/itemProps2.xml><?xml version="1.0" encoding="utf-8"?>
<ds:datastoreItem xmlns:ds="http://schemas.openxmlformats.org/officeDocument/2006/customXml" ds:itemID="{B708DE6D-6A40-488E-9C88-3A0124262C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c77547-ccd9-40af-a024-b9caa86af575"/>
    <ds:schemaRef ds:uri="8b370666-a8fc-4d43-b550-a994fce896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38F354-4A3E-4D57-A7A7-22E9F41AD4B8}">
  <ds:schemaRefs>
    <ds:schemaRef ds:uri="http://schemas.microsoft.com/sharepoint/v3/contenttype/forms"/>
  </ds:schemaRefs>
</ds:datastoreItem>
</file>

<file path=customXml/itemProps4.xml><?xml version="1.0" encoding="utf-8"?>
<ds:datastoreItem xmlns:ds="http://schemas.openxmlformats.org/officeDocument/2006/customXml" ds:itemID="{E5BEDED0-9B27-4AF5-9651-BD0D70A46681}">
  <ds:schemaRefs>
    <ds:schemaRef ds:uri="http://schemas.microsoft.com/office/2006/metadata/properties"/>
    <ds:schemaRef ds:uri="http://schemas.microsoft.com/office/infopath/2007/PartnerControls"/>
    <ds:schemaRef ds:uri="8b370666-a8fc-4d43-b550-a994fce896a6"/>
    <ds:schemaRef ds:uri="22c77547-ccd9-40af-a024-b9caa86af575"/>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986</Words>
  <Characters>5626</Characters>
  <Application>Microsoft Office Word</Application>
  <DocSecurity>0</DocSecurity>
  <Lines>46</Lines>
  <Paragraphs>13</Paragraphs>
  <ScaleCrop>false</ScaleCrop>
  <Company/>
  <LinksUpToDate>false</LinksUpToDate>
  <CharactersWithSpaces>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Annalisa Tarizzo</dc:creator>
  <cp:keywords/>
  <dc:description/>
  <cp:lastModifiedBy>Annalisa Tarizzo</cp:lastModifiedBy>
  <cp:revision>7</cp:revision>
  <dcterms:created xsi:type="dcterms:W3CDTF">2025-04-09T12:47:00Z</dcterms:created>
  <dcterms:modified xsi:type="dcterms:W3CDTF">2025-04-09T12:53:00Z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0x0101007536D0046017184A9C0B33FE0B795D9B</vt:lpwstr>
  </property>
  <property fmtid="{D5CDD505-2E9C-101B-9397-08002B2CF9AE}" pid="3" name="MediaServiceImageTags">
    <vt:lpwstr/>
  </property>
</Properties>
</file>