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E2C0" w14:textId="2D61C897" w:rsidR="00861ADF" w:rsidRDefault="008E67C1" w:rsidP="00372382">
      <w:pPr>
        <w:spacing w:after="0" w:line="240" w:lineRule="auto"/>
        <w:rPr>
          <w:rFonts w:ascii="Times New Roman" w:eastAsia="Calibri" w:hAnsi="Times New Roman" w:cs="Times New Roman"/>
          <w:sz w:val="24"/>
          <w:szCs w:val="24"/>
        </w:rPr>
      </w:pPr>
      <w:r>
        <w:rPr>
          <w:rFonts w:eastAsia="Times New Roman"/>
          <w:noProof/>
        </w:rPr>
        <w:drawing>
          <wp:inline distT="0" distB="0" distL="0" distR="0" wp14:anchorId="1B5905C6" wp14:editId="1B5E693D">
            <wp:extent cx="5943600" cy="1188720"/>
            <wp:effectExtent l="0" t="0" r="0" b="0"/>
            <wp:docPr id="169073399" name="Picture 1" descr="A blu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3399" name="Picture 1" descr="A blue sign with yellow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31B057F3" w14:textId="77777777" w:rsidR="00503C85" w:rsidRDefault="00FB350B" w:rsidP="00372382">
      <w:pPr>
        <w:spacing w:after="0" w:line="240" w:lineRule="auto"/>
        <w:rPr>
          <w:rFonts w:ascii="Times New Roman" w:eastAsia="Times New Roman" w:hAnsi="Times New Roman" w:cs="Times New Roman"/>
          <w:sz w:val="24"/>
          <w:szCs w:val="24"/>
        </w:rPr>
      </w:pPr>
      <w:r w:rsidRPr="00FB350B">
        <w:rPr>
          <w:rFonts w:ascii="Times New Roman" w:eastAsia="Calibri" w:hAnsi="Times New Roman" w:cs="Times New Roman"/>
          <w:sz w:val="24"/>
          <w:szCs w:val="24"/>
        </w:rPr>
        <w:t xml:space="preserve">Edison International </w:t>
      </w:r>
      <w:r w:rsidR="00272BA2">
        <w:rPr>
          <w:rFonts w:ascii="Times New Roman" w:eastAsia="Calibri" w:hAnsi="Times New Roman" w:cs="Times New Roman"/>
          <w:sz w:val="24"/>
          <w:szCs w:val="24"/>
        </w:rPr>
        <w:t>(</w:t>
      </w:r>
      <w:r w:rsidR="004711A7">
        <w:rPr>
          <w:rFonts w:ascii="Times New Roman" w:eastAsia="Calibri" w:hAnsi="Times New Roman" w:cs="Times New Roman"/>
          <w:sz w:val="24"/>
          <w:szCs w:val="24"/>
        </w:rPr>
        <w:t>EIX</w:t>
      </w:r>
      <w:r w:rsidR="00272BA2">
        <w:rPr>
          <w:rFonts w:ascii="Times New Roman" w:eastAsia="Calibri" w:hAnsi="Times New Roman" w:cs="Times New Roman"/>
          <w:sz w:val="24"/>
          <w:szCs w:val="24"/>
        </w:rPr>
        <w:t>)</w:t>
      </w:r>
      <w:r w:rsidR="00272BA2" w:rsidRPr="00C72583">
        <w:rPr>
          <w:rFonts w:ascii="Times New Roman" w:eastAsia="Times New Roman" w:hAnsi="Times New Roman" w:cs="Times New Roman"/>
          <w:sz w:val="24"/>
          <w:szCs w:val="24"/>
        </w:rPr>
        <w:br/>
      </w:r>
      <w:r w:rsidR="00272BA2">
        <w:rPr>
          <w:rFonts w:ascii="Times New Roman" w:eastAsia="Times New Roman" w:hAnsi="Times New Roman" w:cs="Times New Roman"/>
          <w:sz w:val="24"/>
          <w:szCs w:val="24"/>
        </w:rPr>
        <w:t>S</w:t>
      </w:r>
      <w:r w:rsidR="00372382">
        <w:rPr>
          <w:rFonts w:ascii="Times New Roman" w:eastAsia="Times New Roman" w:hAnsi="Times New Roman" w:cs="Times New Roman"/>
          <w:sz w:val="24"/>
          <w:szCs w:val="24"/>
        </w:rPr>
        <w:t>hareholder</w:t>
      </w:r>
      <w:r w:rsidR="00272BA2" w:rsidRPr="00C72583">
        <w:rPr>
          <w:rFonts w:ascii="Times New Roman" w:eastAsia="Times New Roman" w:hAnsi="Times New Roman" w:cs="Times New Roman"/>
          <w:sz w:val="24"/>
          <w:szCs w:val="24"/>
        </w:rPr>
        <w:t xml:space="preserve"> Alert</w:t>
      </w:r>
      <w:r w:rsidR="00272BA2" w:rsidRPr="00C72583">
        <w:rPr>
          <w:rFonts w:ascii="Times New Roman" w:eastAsia="Times New Roman" w:hAnsi="Times New Roman" w:cs="Times New Roman"/>
          <w:sz w:val="24"/>
          <w:szCs w:val="24"/>
        </w:rPr>
        <w:br/>
        <w:t>Voluntary submission by John Chevedden, POB 2673, Redondo Beach, CA 90278</w:t>
      </w:r>
    </w:p>
    <w:p w14:paraId="34010FCA" w14:textId="7D95FE42" w:rsidR="00372382" w:rsidRDefault="00503C85" w:rsidP="00372382">
      <w:pPr>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EIX shareholder </w:t>
      </w:r>
      <w:proofErr w:type="gramStart"/>
      <w:r>
        <w:rPr>
          <w:rFonts w:ascii="Times New Roman" w:eastAsia="Times New Roman" w:hAnsi="Times New Roman" w:cs="Times New Roman"/>
          <w:sz w:val="24"/>
          <w:szCs w:val="24"/>
        </w:rPr>
        <w:t xml:space="preserve">since </w:t>
      </w:r>
      <w:r w:rsidR="00CA50A8">
        <w:rPr>
          <w:rFonts w:ascii="Times New Roman" w:eastAsia="Times New Roman" w:hAnsi="Times New Roman" w:cs="Times New Roman"/>
          <w:sz w:val="24"/>
          <w:szCs w:val="24"/>
        </w:rPr>
        <w:t>.</w:t>
      </w:r>
      <w:proofErr w:type="gramEnd"/>
      <w:r w:rsidR="00272BA2" w:rsidRPr="00C72583">
        <w:rPr>
          <w:rFonts w:ascii="Times New Roman" w:eastAsia="Times New Roman" w:hAnsi="Times New Roman" w:cs="Times New Roman"/>
          <w:sz w:val="24"/>
          <w:szCs w:val="24"/>
        </w:rPr>
        <w:br/>
      </w:r>
    </w:p>
    <w:p w14:paraId="3A71A922" w14:textId="06AC9095" w:rsidR="00272BA2" w:rsidRPr="00CC602A" w:rsidRDefault="00272BA2" w:rsidP="00272BA2">
      <w:pPr>
        <w:spacing w:after="0" w:line="240" w:lineRule="auto"/>
        <w:rPr>
          <w:rFonts w:ascii="Times New Roman" w:hAnsi="Times New Roman" w:cs="Times New Roman"/>
          <w:sz w:val="24"/>
          <w:szCs w:val="24"/>
        </w:rPr>
      </w:pPr>
      <w:r w:rsidRPr="43A7309B">
        <w:rPr>
          <w:rFonts w:ascii="Times New Roman" w:hAnsi="Times New Roman" w:cs="Times New Roman"/>
          <w:sz w:val="24"/>
          <w:szCs w:val="24"/>
        </w:rPr>
        <w:t xml:space="preserve">To </w:t>
      </w:r>
      <w:r w:rsidR="00FB350B" w:rsidRPr="00FB350B">
        <w:rPr>
          <w:rFonts w:ascii="Times New Roman" w:eastAsia="Calibri" w:hAnsi="Times New Roman" w:cs="Times New Roman"/>
          <w:sz w:val="24"/>
          <w:szCs w:val="24"/>
        </w:rPr>
        <w:t xml:space="preserve">Edison International </w:t>
      </w:r>
      <w:r w:rsidR="00FB350B">
        <w:rPr>
          <w:rFonts w:ascii="Times New Roman" w:eastAsia="Calibri" w:hAnsi="Times New Roman" w:cs="Times New Roman"/>
          <w:sz w:val="24"/>
          <w:szCs w:val="24"/>
        </w:rPr>
        <w:t>(“EIX”)</w:t>
      </w:r>
      <w:r w:rsidR="00372382">
        <w:rPr>
          <w:rFonts w:ascii="Times New Roman" w:hAnsi="Times New Roman" w:cs="Times New Roman"/>
          <w:sz w:val="24"/>
          <w:szCs w:val="24"/>
        </w:rPr>
        <w:t xml:space="preserve"> Share</w:t>
      </w:r>
      <w:r>
        <w:rPr>
          <w:rFonts w:ascii="Times New Roman" w:hAnsi="Times New Roman" w:cs="Times New Roman"/>
          <w:sz w:val="24"/>
          <w:szCs w:val="24"/>
        </w:rPr>
        <w:t>holder</w:t>
      </w:r>
      <w:r w:rsidRPr="43A7309B">
        <w:rPr>
          <w:rFonts w:ascii="Times New Roman" w:hAnsi="Times New Roman" w:cs="Times New Roman"/>
          <w:sz w:val="24"/>
          <w:szCs w:val="24"/>
        </w:rPr>
        <w:t>s:</w:t>
      </w:r>
    </w:p>
    <w:p w14:paraId="35725073" w14:textId="77777777" w:rsidR="00272BA2" w:rsidRDefault="00272BA2" w:rsidP="00272BA2">
      <w:pPr>
        <w:tabs>
          <w:tab w:val="left" w:pos="720"/>
        </w:tabs>
        <w:spacing w:after="0" w:line="240" w:lineRule="auto"/>
        <w:rPr>
          <w:rFonts w:ascii="Times New Roman" w:hAnsi="Times New Roman" w:cs="Times New Roman"/>
          <w:b/>
          <w:sz w:val="24"/>
          <w:szCs w:val="24"/>
        </w:rPr>
      </w:pPr>
    </w:p>
    <w:p w14:paraId="7D85101C" w14:textId="1EF50F48" w:rsidR="00272BA2" w:rsidRDefault="00272BA2" w:rsidP="00272BA2">
      <w:pPr>
        <w:spacing w:after="0" w:line="240" w:lineRule="auto"/>
        <w:rPr>
          <w:rFonts w:ascii="Times New Roman" w:hAnsi="Times New Roman" w:cs="Times New Roman"/>
          <w:b/>
          <w:bCs/>
          <w:sz w:val="24"/>
          <w:szCs w:val="24"/>
        </w:rPr>
      </w:pPr>
      <w:r w:rsidRPr="00AA213F">
        <w:rPr>
          <w:rFonts w:ascii="Times New Roman" w:eastAsia="Times New Roman" w:hAnsi="Times New Roman" w:cs="Times New Roman"/>
          <w:b/>
          <w:bCs/>
          <w:color w:val="000000" w:themeColor="text1"/>
          <w:sz w:val="24"/>
          <w:szCs w:val="24"/>
        </w:rPr>
        <w:t>I</w:t>
      </w:r>
      <w:r w:rsidRPr="00AA213F">
        <w:rPr>
          <w:rFonts w:ascii="Times New Roman" w:hAnsi="Times New Roman" w:cs="Times New Roman"/>
          <w:b/>
          <w:bCs/>
          <w:sz w:val="24"/>
          <w:szCs w:val="24"/>
        </w:rPr>
        <w:t xml:space="preserve"> urge </w:t>
      </w:r>
      <w:r>
        <w:rPr>
          <w:rFonts w:ascii="Times New Roman" w:hAnsi="Times New Roman" w:cs="Times New Roman"/>
          <w:b/>
          <w:bCs/>
          <w:sz w:val="24"/>
          <w:szCs w:val="24"/>
        </w:rPr>
        <w:t>s</w:t>
      </w:r>
      <w:r w:rsidR="00AB0DD7">
        <w:rPr>
          <w:rFonts w:ascii="Times New Roman" w:hAnsi="Times New Roman" w:cs="Times New Roman"/>
          <w:b/>
          <w:bCs/>
          <w:sz w:val="24"/>
          <w:szCs w:val="24"/>
        </w:rPr>
        <w:t>hareholder</w:t>
      </w:r>
      <w:r w:rsidRPr="00AA213F">
        <w:rPr>
          <w:rFonts w:ascii="Times New Roman" w:hAnsi="Times New Roman" w:cs="Times New Roman"/>
          <w:b/>
          <w:bCs/>
          <w:sz w:val="24"/>
          <w:szCs w:val="24"/>
        </w:rPr>
        <w:t>s</w:t>
      </w:r>
      <w:r w:rsidRPr="43A7309B">
        <w:rPr>
          <w:rFonts w:ascii="Times New Roman" w:hAnsi="Times New Roman" w:cs="Times New Roman"/>
          <w:b/>
          <w:bCs/>
          <w:sz w:val="24"/>
          <w:szCs w:val="24"/>
        </w:rPr>
        <w:t xml:space="preserve"> to vote FOR </w:t>
      </w:r>
      <w:r w:rsidR="00372382">
        <w:rPr>
          <w:rFonts w:ascii="Times New Roman" w:hAnsi="Times New Roman" w:cs="Times New Roman"/>
          <w:b/>
          <w:bCs/>
          <w:sz w:val="24"/>
          <w:szCs w:val="24"/>
        </w:rPr>
        <w:t>Proposal</w:t>
      </w:r>
      <w:r w:rsidRPr="43A7309B">
        <w:rPr>
          <w:rFonts w:ascii="Times New Roman" w:hAnsi="Times New Roman" w:cs="Times New Roman"/>
          <w:b/>
          <w:bCs/>
          <w:sz w:val="24"/>
          <w:szCs w:val="24"/>
        </w:rPr>
        <w:t xml:space="preserve"> </w:t>
      </w:r>
      <w:r w:rsidR="00FC2A6C">
        <w:rPr>
          <w:rFonts w:ascii="Times New Roman" w:hAnsi="Times New Roman" w:cs="Times New Roman"/>
          <w:b/>
          <w:bCs/>
          <w:sz w:val="24"/>
          <w:szCs w:val="24"/>
        </w:rPr>
        <w:t>4</w:t>
      </w:r>
      <w:r w:rsidR="00372382">
        <w:rPr>
          <w:rFonts w:ascii="Times New Roman" w:hAnsi="Times New Roman" w:cs="Times New Roman"/>
          <w:b/>
          <w:bCs/>
          <w:sz w:val="24"/>
          <w:szCs w:val="24"/>
        </w:rPr>
        <w:t xml:space="preserve"> </w:t>
      </w:r>
      <w:r w:rsidRPr="43A7309B">
        <w:rPr>
          <w:rFonts w:ascii="Times New Roman" w:hAnsi="Times New Roman" w:cs="Times New Roman"/>
          <w:b/>
          <w:bCs/>
          <w:sz w:val="24"/>
          <w:szCs w:val="24"/>
        </w:rPr>
        <w:t xml:space="preserve">at the </w:t>
      </w:r>
      <w:r>
        <w:rPr>
          <w:rFonts w:ascii="Times New Roman" w:hAnsi="Times New Roman" w:cs="Times New Roman"/>
          <w:b/>
          <w:bCs/>
          <w:sz w:val="24"/>
          <w:szCs w:val="24"/>
        </w:rPr>
        <w:t>s</w:t>
      </w:r>
      <w:r w:rsidR="00372382">
        <w:rPr>
          <w:rFonts w:ascii="Times New Roman" w:hAnsi="Times New Roman" w:cs="Times New Roman"/>
          <w:b/>
          <w:bCs/>
          <w:sz w:val="24"/>
          <w:szCs w:val="24"/>
        </w:rPr>
        <w:t>hare</w:t>
      </w:r>
      <w:r>
        <w:rPr>
          <w:rFonts w:ascii="Times New Roman" w:hAnsi="Times New Roman" w:cs="Times New Roman"/>
          <w:b/>
          <w:bCs/>
          <w:sz w:val="24"/>
          <w:szCs w:val="24"/>
        </w:rPr>
        <w:t>holder</w:t>
      </w:r>
      <w:r w:rsidRPr="43A7309B">
        <w:rPr>
          <w:rFonts w:ascii="Times New Roman" w:hAnsi="Times New Roman" w:cs="Times New Roman"/>
          <w:b/>
          <w:bCs/>
          <w:sz w:val="24"/>
          <w:szCs w:val="24"/>
        </w:rPr>
        <w:t xml:space="preserve"> meeting</w:t>
      </w:r>
      <w:r w:rsidR="00890B7D">
        <w:rPr>
          <w:rFonts w:ascii="Times New Roman" w:hAnsi="Times New Roman" w:cs="Times New Roman"/>
          <w:b/>
          <w:bCs/>
          <w:sz w:val="24"/>
          <w:szCs w:val="24"/>
        </w:rPr>
        <w:t>,</w:t>
      </w:r>
    </w:p>
    <w:p w14:paraId="74C7F52F" w14:textId="77777777" w:rsidR="00272BA2" w:rsidRDefault="00272BA2" w:rsidP="00272BA2">
      <w:pPr>
        <w:spacing w:line="240" w:lineRule="auto"/>
        <w:rPr>
          <w:rFonts w:ascii="Times New Roman" w:hAnsi="Times New Roman" w:cs="Times New Roman"/>
          <w:bCs/>
          <w:sz w:val="24"/>
          <w:szCs w:val="24"/>
        </w:rPr>
      </w:pPr>
    </w:p>
    <w:p w14:paraId="36160562" w14:textId="756F38D0" w:rsidR="00272BA2" w:rsidRPr="00237E95" w:rsidRDefault="00272BA2" w:rsidP="00272BA2">
      <w:pPr>
        <w:spacing w:line="240" w:lineRule="auto"/>
        <w:rPr>
          <w:rFonts w:ascii="Times New Roman" w:hAnsi="Times New Roman" w:cs="Times New Roman"/>
          <w:b/>
          <w:bCs/>
          <w:sz w:val="24"/>
          <w:szCs w:val="24"/>
        </w:rPr>
      </w:pPr>
      <w:r w:rsidRPr="43A7309B">
        <w:rPr>
          <w:rFonts w:ascii="Times New Roman" w:hAnsi="Times New Roman" w:cs="Times New Roman"/>
          <w:sz w:val="24"/>
          <w:szCs w:val="24"/>
        </w:rPr>
        <w:t xml:space="preserve">The proposal asks </w:t>
      </w:r>
      <w:r w:rsidR="00FC2A6C">
        <w:rPr>
          <w:rFonts w:ascii="Times New Roman" w:eastAsia="Calibri" w:hAnsi="Times New Roman" w:cs="Times New Roman"/>
          <w:sz w:val="24"/>
          <w:szCs w:val="24"/>
        </w:rPr>
        <w:t>EIX</w:t>
      </w:r>
      <w:r w:rsidR="00994395" w:rsidRPr="43A7309B">
        <w:rPr>
          <w:rFonts w:ascii="Times New Roman" w:hAnsi="Times New Roman" w:cs="Times New Roman"/>
          <w:sz w:val="24"/>
          <w:szCs w:val="24"/>
        </w:rPr>
        <w:t xml:space="preserve"> </w:t>
      </w:r>
      <w:r w:rsidRPr="43A7309B">
        <w:rPr>
          <w:rFonts w:ascii="Times New Roman" w:hAnsi="Times New Roman" w:cs="Times New Roman"/>
          <w:sz w:val="24"/>
          <w:szCs w:val="24"/>
        </w:rPr>
        <w:t>to prepare an annual report on its lobbying.</w:t>
      </w:r>
    </w:p>
    <w:p w14:paraId="52E9B8B3" w14:textId="77777777" w:rsidR="008A28F7" w:rsidRPr="00237E95" w:rsidRDefault="008A28F7" w:rsidP="008A28F7">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8A28F7" w14:paraId="0D98D287" w14:textId="77777777" w:rsidTr="00AE5648">
        <w:tc>
          <w:tcPr>
            <w:tcW w:w="9350" w:type="dxa"/>
          </w:tcPr>
          <w:p w14:paraId="6B5F81A4" w14:textId="20DB4C9C" w:rsidR="008A28F7" w:rsidRPr="008A28F7" w:rsidRDefault="008A28F7" w:rsidP="00AE5648">
            <w:pPr>
              <w:pStyle w:val="NormalWeb"/>
              <w:spacing w:before="120" w:beforeAutospacing="0" w:after="0" w:afterAutospacing="0"/>
              <w:ind w:firstLine="720"/>
            </w:pPr>
            <w:r w:rsidRPr="008A28F7">
              <w:rPr>
                <w:b/>
                <w:bCs/>
              </w:rPr>
              <w:t xml:space="preserve">Resolved, </w:t>
            </w:r>
            <w:r w:rsidRPr="008A28F7">
              <w:t xml:space="preserve">the shareholders of </w:t>
            </w:r>
            <w:r w:rsidR="00FC2A6C">
              <w:t>EIX</w:t>
            </w:r>
            <w:r w:rsidRPr="008A28F7">
              <w:t xml:space="preserve"> request the preparation of a report, updated annually, disclosing:</w:t>
            </w:r>
          </w:p>
          <w:p w14:paraId="49FD6FE2" w14:textId="77777777" w:rsidR="008A28F7" w:rsidRPr="008A28F7" w:rsidRDefault="008A28F7" w:rsidP="00AE5648">
            <w:pPr>
              <w:pStyle w:val="NormalWeb"/>
              <w:spacing w:before="120" w:beforeAutospacing="0" w:after="0" w:afterAutospacing="0"/>
              <w:ind w:left="720" w:hanging="360"/>
            </w:pPr>
            <w:r w:rsidRPr="008A28F7">
              <w:t xml:space="preserve">1. </w:t>
            </w:r>
            <w:r w:rsidRPr="008A28F7">
              <w:tab/>
              <w:t xml:space="preserve">Company policy and procedures governing lobbying, both direct and indirect, and grassroots lobbying communications. </w:t>
            </w:r>
          </w:p>
          <w:p w14:paraId="1AB9FBF5" w14:textId="39A71105" w:rsidR="008A28F7" w:rsidRPr="008A28F7" w:rsidRDefault="008A28F7" w:rsidP="008A28F7">
            <w:pPr>
              <w:numPr>
                <w:ilvl w:val="0"/>
                <w:numId w:val="17"/>
              </w:numPr>
              <w:spacing w:before="120"/>
              <w:rPr>
                <w:rFonts w:ascii="Times New Roman" w:hAnsi="Times New Roman" w:cs="Times New Roman"/>
                <w:sz w:val="24"/>
                <w:szCs w:val="24"/>
              </w:rPr>
            </w:pPr>
            <w:r w:rsidRPr="008A28F7">
              <w:rPr>
                <w:rFonts w:ascii="Times New Roman" w:hAnsi="Times New Roman" w:cs="Times New Roman"/>
                <w:sz w:val="24"/>
                <w:szCs w:val="24"/>
              </w:rPr>
              <w:t xml:space="preserve">Payments by </w:t>
            </w:r>
            <w:r w:rsidR="00FC2A6C">
              <w:rPr>
                <w:rFonts w:ascii="Times New Roman" w:hAnsi="Times New Roman" w:cs="Times New Roman"/>
                <w:sz w:val="24"/>
                <w:szCs w:val="24"/>
              </w:rPr>
              <w:t>EIX</w:t>
            </w:r>
            <w:r w:rsidRPr="008A28F7">
              <w:rPr>
                <w:rFonts w:ascii="Times New Roman" w:hAnsi="Times New Roman" w:cs="Times New Roman"/>
                <w:sz w:val="24"/>
                <w:szCs w:val="24"/>
              </w:rPr>
              <w:t xml:space="preserve"> used for (a) direct or indirect lobbying or (b) grassroots lobbying communications, in each case including the amount of the payment and the recipient. </w:t>
            </w:r>
          </w:p>
          <w:p w14:paraId="6C03AB16" w14:textId="3E385032" w:rsidR="008A28F7" w:rsidRPr="008A28F7" w:rsidRDefault="00FC2A6C" w:rsidP="008A28F7">
            <w:pPr>
              <w:numPr>
                <w:ilvl w:val="0"/>
                <w:numId w:val="17"/>
              </w:numPr>
              <w:spacing w:before="120"/>
              <w:rPr>
                <w:rFonts w:ascii="Times New Roman" w:hAnsi="Times New Roman" w:cs="Times New Roman"/>
                <w:sz w:val="24"/>
                <w:szCs w:val="24"/>
              </w:rPr>
            </w:pPr>
            <w:r>
              <w:rPr>
                <w:rFonts w:ascii="Times New Roman" w:hAnsi="Times New Roman" w:cs="Times New Roman"/>
                <w:sz w:val="24"/>
                <w:szCs w:val="24"/>
              </w:rPr>
              <w:t>EIX</w:t>
            </w:r>
            <w:r w:rsidR="008A28F7" w:rsidRPr="008A28F7">
              <w:rPr>
                <w:rFonts w:ascii="Times New Roman" w:hAnsi="Times New Roman" w:cs="Times New Roman"/>
                <w:sz w:val="24"/>
                <w:szCs w:val="24"/>
              </w:rPr>
              <w:t>’s membership in and payments to any tax-exempt organization that writes and endorses model legislation.</w:t>
            </w:r>
          </w:p>
          <w:p w14:paraId="63C756F6" w14:textId="77777777" w:rsidR="008A28F7" w:rsidRPr="008A28F7" w:rsidRDefault="008A28F7" w:rsidP="008A28F7">
            <w:pPr>
              <w:numPr>
                <w:ilvl w:val="0"/>
                <w:numId w:val="17"/>
              </w:numPr>
              <w:spacing w:before="120"/>
              <w:rPr>
                <w:rFonts w:ascii="Times New Roman" w:hAnsi="Times New Roman" w:cs="Times New Roman"/>
                <w:sz w:val="24"/>
                <w:szCs w:val="24"/>
              </w:rPr>
            </w:pPr>
            <w:r w:rsidRPr="008A28F7">
              <w:rPr>
                <w:rFonts w:ascii="Times New Roman" w:hAnsi="Times New Roman" w:cs="Times New Roman"/>
                <w:sz w:val="24"/>
                <w:szCs w:val="24"/>
              </w:rPr>
              <w:t xml:space="preserve">Description of </w:t>
            </w:r>
            <w:proofErr w:type="gramStart"/>
            <w:r w:rsidRPr="008A28F7">
              <w:rPr>
                <w:rFonts w:ascii="Times New Roman" w:hAnsi="Times New Roman" w:cs="Times New Roman"/>
                <w:sz w:val="24"/>
                <w:szCs w:val="24"/>
              </w:rPr>
              <w:t>management’s</w:t>
            </w:r>
            <w:proofErr w:type="gramEnd"/>
            <w:r w:rsidRPr="008A28F7">
              <w:rPr>
                <w:rFonts w:ascii="Times New Roman" w:hAnsi="Times New Roman" w:cs="Times New Roman"/>
                <w:sz w:val="24"/>
                <w:szCs w:val="24"/>
              </w:rPr>
              <w:t xml:space="preserve"> and the Board’s decision-making process and oversight for making payments described above.</w:t>
            </w:r>
          </w:p>
          <w:p w14:paraId="716011D3" w14:textId="77777777" w:rsidR="008A28F7" w:rsidRDefault="008A28F7" w:rsidP="00AE5648">
            <w:pPr>
              <w:rPr>
                <w:rFonts w:ascii="Times New Roman" w:hAnsi="Times New Roman" w:cs="Times New Roman"/>
                <w:bCs/>
                <w:sz w:val="24"/>
                <w:szCs w:val="24"/>
              </w:rPr>
            </w:pPr>
          </w:p>
        </w:tc>
      </w:tr>
    </w:tbl>
    <w:p w14:paraId="3AD136B9" w14:textId="77777777" w:rsidR="008A28F7" w:rsidRPr="006C0CE1" w:rsidRDefault="008A28F7" w:rsidP="008A28F7">
      <w:pPr>
        <w:tabs>
          <w:tab w:val="left" w:pos="720"/>
        </w:tabs>
        <w:spacing w:after="0" w:line="240" w:lineRule="auto"/>
        <w:rPr>
          <w:rFonts w:ascii="Times New Roman" w:eastAsia="Calibri" w:hAnsi="Times New Roman" w:cs="Times New Roman"/>
          <w:b/>
          <w:sz w:val="24"/>
          <w:szCs w:val="24"/>
        </w:rPr>
      </w:pPr>
    </w:p>
    <w:p w14:paraId="31247DD5" w14:textId="1673A664" w:rsidR="002E2AAA" w:rsidRDefault="008A28F7" w:rsidP="002E2AAA">
      <w:pPr>
        <w:tabs>
          <w:tab w:val="left" w:pos="720"/>
        </w:tabs>
        <w:spacing w:after="0" w:line="240" w:lineRule="auto"/>
        <w:rPr>
          <w:rFonts w:ascii="Times New Roman" w:hAnsi="Times New Roman" w:cs="Times New Roman"/>
          <w:sz w:val="24"/>
          <w:szCs w:val="24"/>
        </w:rPr>
      </w:pPr>
      <w:r w:rsidRPr="00715F2F">
        <w:rPr>
          <w:rFonts w:ascii="Times New Roman" w:hAnsi="Times New Roman" w:cs="Times New Roman"/>
          <w:sz w:val="24"/>
          <w:szCs w:val="24"/>
        </w:rPr>
        <w:t>The proposal is part of an ongoing investor campaign for greater corporate political spending and lobbying disclosure.</w:t>
      </w:r>
      <w:r>
        <w:rPr>
          <w:rStyle w:val="FootnoteReference"/>
          <w:rFonts w:ascii="Times New Roman" w:hAnsi="Times New Roman"/>
          <w:sz w:val="24"/>
          <w:szCs w:val="24"/>
        </w:rPr>
        <w:footnoteReference w:id="1"/>
      </w:r>
      <w:r w:rsidR="006B3EDD" w:rsidRPr="00715F2F">
        <w:rPr>
          <w:rFonts w:ascii="Times New Roman" w:hAnsi="Times New Roman" w:cs="Times New Roman"/>
          <w:sz w:val="24"/>
          <w:szCs w:val="24"/>
        </w:rPr>
        <w:t xml:space="preserve"> Transparency and accountability in corporate spending to influence public policy are in the best interests of </w:t>
      </w:r>
      <w:r w:rsidR="00FC2A6C">
        <w:rPr>
          <w:rFonts w:ascii="Times New Roman" w:hAnsi="Times New Roman" w:cs="Times New Roman"/>
          <w:sz w:val="24"/>
          <w:szCs w:val="24"/>
        </w:rPr>
        <w:t>EIX</w:t>
      </w:r>
      <w:r w:rsidR="006B3EDD" w:rsidRPr="00715F2F">
        <w:rPr>
          <w:rFonts w:ascii="Times New Roman" w:hAnsi="Times New Roman" w:cs="Times New Roman"/>
          <w:sz w:val="24"/>
          <w:szCs w:val="24"/>
        </w:rPr>
        <w:t xml:space="preserve"> shareholders. Without a clear system ensuring accountability, corporate assets can be used to promote public policy</w:t>
      </w:r>
      <w:r w:rsidR="006B3EDD" w:rsidRPr="00715F2F">
        <w:rPr>
          <w:rFonts w:ascii="Times New Roman" w:hAnsi="Times New Roman" w:cs="Times New Roman"/>
          <w:color w:val="FF0000"/>
          <w:sz w:val="24"/>
          <w:szCs w:val="24"/>
        </w:rPr>
        <w:t xml:space="preserve"> </w:t>
      </w:r>
      <w:r w:rsidR="006B3EDD" w:rsidRPr="00715F2F">
        <w:rPr>
          <w:rFonts w:ascii="Times New Roman" w:hAnsi="Times New Roman" w:cs="Times New Roman"/>
          <w:sz w:val="24"/>
          <w:szCs w:val="24"/>
        </w:rPr>
        <w:t xml:space="preserve">objectives which can pose risks to </w:t>
      </w:r>
      <w:r w:rsidR="00FC2A6C">
        <w:rPr>
          <w:rFonts w:ascii="Times New Roman" w:hAnsi="Times New Roman" w:cs="Times New Roman"/>
          <w:sz w:val="24"/>
          <w:szCs w:val="24"/>
        </w:rPr>
        <w:t>EIX</w:t>
      </w:r>
      <w:r w:rsidR="006B3EDD" w:rsidRPr="00715F2F">
        <w:rPr>
          <w:rFonts w:ascii="Times New Roman" w:hAnsi="Times New Roman" w:cs="Times New Roman"/>
          <w:sz w:val="24"/>
          <w:szCs w:val="24"/>
        </w:rPr>
        <w:t>’s reputation and shareholder value</w:t>
      </w:r>
      <w:r w:rsidR="006B3EDD">
        <w:rPr>
          <w:rFonts w:ascii="Times New Roman" w:hAnsi="Times New Roman" w:cs="Times New Roman"/>
          <w:sz w:val="24"/>
          <w:szCs w:val="24"/>
        </w:rPr>
        <w:t>.</w:t>
      </w:r>
    </w:p>
    <w:p w14:paraId="6963420E" w14:textId="77777777" w:rsidR="002E2AAA" w:rsidRDefault="002E2AAA" w:rsidP="002E2AAA">
      <w:pPr>
        <w:tabs>
          <w:tab w:val="left" w:pos="720"/>
        </w:tabs>
        <w:spacing w:after="0" w:line="240" w:lineRule="auto"/>
        <w:rPr>
          <w:rFonts w:ascii="Times New Roman" w:hAnsi="Times New Roman" w:cs="Times New Roman"/>
          <w:sz w:val="24"/>
          <w:szCs w:val="24"/>
        </w:rPr>
      </w:pPr>
    </w:p>
    <w:p w14:paraId="5A27D9AA" w14:textId="70BCE965" w:rsidR="006B3EDD" w:rsidRDefault="00FC2A6C" w:rsidP="002E2AAA">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EIX</w:t>
      </w:r>
      <w:r w:rsidR="006B3EDD" w:rsidRPr="00BB0E71">
        <w:rPr>
          <w:rFonts w:ascii="Times New Roman" w:eastAsia="Times New Roman" w:hAnsi="Times New Roman" w:cs="Times New Roman"/>
          <w:sz w:val="24"/>
          <w:szCs w:val="24"/>
        </w:rPr>
        <w:t xml:space="preserve"> </w:t>
      </w:r>
      <w:r w:rsidR="002D6583">
        <w:rPr>
          <w:rFonts w:ascii="Times New Roman" w:eastAsia="Times New Roman" w:hAnsi="Times New Roman" w:cs="Times New Roman"/>
          <w:sz w:val="24"/>
          <w:szCs w:val="24"/>
        </w:rPr>
        <w:t>should</w:t>
      </w:r>
      <w:r w:rsidR="006B3EDD" w:rsidRPr="00BB0E71">
        <w:rPr>
          <w:rFonts w:ascii="Times New Roman" w:eastAsia="Times New Roman" w:hAnsi="Times New Roman" w:cs="Times New Roman"/>
          <w:sz w:val="24"/>
          <w:szCs w:val="24"/>
        </w:rPr>
        <w:t xml:space="preserve"> commit to corporate political responsibility by increasing its transparency by disclosing </w:t>
      </w:r>
      <w:proofErr w:type="gramStart"/>
      <w:r w:rsidR="006B3EDD" w:rsidRPr="00BB0E71">
        <w:rPr>
          <w:rFonts w:ascii="Times New Roman" w:eastAsia="Times New Roman" w:hAnsi="Times New Roman" w:cs="Times New Roman"/>
          <w:sz w:val="24"/>
          <w:szCs w:val="24"/>
        </w:rPr>
        <w:t>all of</w:t>
      </w:r>
      <w:proofErr w:type="gramEnd"/>
      <w:r w:rsidR="006B3EDD" w:rsidRPr="00BB0E71">
        <w:rPr>
          <w:rFonts w:ascii="Times New Roman" w:eastAsia="Times New Roman" w:hAnsi="Times New Roman" w:cs="Times New Roman"/>
          <w:sz w:val="24"/>
          <w:szCs w:val="24"/>
        </w:rPr>
        <w:t xml:space="preserve"> its third-party spending to influence public policy. </w:t>
      </w:r>
      <w:r w:rsidR="006B3EDD" w:rsidRPr="00BB0E71">
        <w:rPr>
          <w:rFonts w:ascii="Times New Roman" w:eastAsia="Times New Roman" w:hAnsi="Times New Roman" w:cs="Times New Roman"/>
          <w:color w:val="000000" w:themeColor="text1"/>
          <w:sz w:val="24"/>
          <w:szCs w:val="24"/>
        </w:rPr>
        <w:t xml:space="preserve">In this letter, </w:t>
      </w:r>
      <w:r w:rsidR="00455FD1">
        <w:rPr>
          <w:rFonts w:ascii="Times New Roman" w:eastAsia="Times New Roman" w:hAnsi="Times New Roman" w:cs="Times New Roman"/>
          <w:color w:val="000000" w:themeColor="text1"/>
          <w:sz w:val="24"/>
          <w:szCs w:val="24"/>
        </w:rPr>
        <w:t>I</w:t>
      </w:r>
      <w:r w:rsidR="006B3EDD" w:rsidRPr="00BB0E71">
        <w:rPr>
          <w:rFonts w:ascii="Times New Roman" w:eastAsia="Times New Roman" w:hAnsi="Times New Roman" w:cs="Times New Roman"/>
          <w:color w:val="000000" w:themeColor="text1"/>
          <w:sz w:val="24"/>
          <w:szCs w:val="24"/>
        </w:rPr>
        <w:t xml:space="preserve"> will show support for this proposal is warranted because:</w:t>
      </w:r>
    </w:p>
    <w:p w14:paraId="58F8B3E1" w14:textId="77777777" w:rsidR="002E2AAA" w:rsidRPr="00BB0E71" w:rsidRDefault="002E2AAA" w:rsidP="002E2AAA">
      <w:pPr>
        <w:tabs>
          <w:tab w:val="left" w:pos="720"/>
        </w:tabs>
        <w:spacing w:after="0" w:line="240" w:lineRule="auto"/>
        <w:rPr>
          <w:rFonts w:ascii="Times New Roman" w:eastAsia="Times New Roman" w:hAnsi="Times New Roman" w:cs="Times New Roman"/>
          <w:sz w:val="24"/>
          <w:szCs w:val="24"/>
        </w:rPr>
      </w:pPr>
    </w:p>
    <w:p w14:paraId="45D62872" w14:textId="77777777" w:rsidR="006B3EDD" w:rsidRPr="00CF04A8" w:rsidRDefault="006B3EDD"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sidRPr="00CF04A8">
        <w:rPr>
          <w:rFonts w:ascii="Times New Roman" w:eastAsia="Times New Roman" w:hAnsi="Times New Roman" w:cs="Times New Roman"/>
          <w:color w:val="000000" w:themeColor="text1"/>
          <w:sz w:val="24"/>
          <w:szCs w:val="24"/>
        </w:rPr>
        <w:lastRenderedPageBreak/>
        <w:t xml:space="preserve">Reputation is an important component of shareholder </w:t>
      </w:r>
      <w:proofErr w:type="gramStart"/>
      <w:r w:rsidRPr="00CF04A8">
        <w:rPr>
          <w:rFonts w:ascii="Times New Roman" w:eastAsia="Times New Roman" w:hAnsi="Times New Roman" w:cs="Times New Roman"/>
          <w:color w:val="000000" w:themeColor="text1"/>
          <w:sz w:val="24"/>
          <w:szCs w:val="24"/>
        </w:rPr>
        <w:t>value;</w:t>
      </w:r>
      <w:proofErr w:type="gramEnd"/>
    </w:p>
    <w:p w14:paraId="43DA8783" w14:textId="521DE714" w:rsidR="006B3EDD" w:rsidRPr="00D45301" w:rsidRDefault="00FC2A6C"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sidRPr="00D45301">
        <w:rPr>
          <w:rFonts w:ascii="Times New Roman" w:eastAsia="Times New Roman" w:hAnsi="Times New Roman" w:cs="Times New Roman"/>
          <w:color w:val="000000" w:themeColor="text1"/>
          <w:sz w:val="24"/>
          <w:szCs w:val="24"/>
        </w:rPr>
        <w:t>EIX</w:t>
      </w:r>
      <w:r w:rsidR="006B3EDD" w:rsidRPr="00D45301">
        <w:rPr>
          <w:rFonts w:ascii="Times New Roman" w:eastAsia="Times New Roman" w:hAnsi="Times New Roman" w:cs="Times New Roman"/>
          <w:color w:val="000000" w:themeColor="text1"/>
          <w:sz w:val="24"/>
          <w:szCs w:val="24"/>
        </w:rPr>
        <w:t xml:space="preserve">’s </w:t>
      </w:r>
      <w:r w:rsidR="00D45301" w:rsidRPr="00D45301">
        <w:rPr>
          <w:rFonts w:ascii="Times New Roman" w:hAnsi="Times New Roman" w:cs="Times New Roman"/>
          <w:color w:val="000000" w:themeColor="text1"/>
          <w:sz w:val="24"/>
          <w:szCs w:val="24"/>
        </w:rPr>
        <w:t xml:space="preserve">current disclosures are </w:t>
      </w:r>
      <w:proofErr w:type="gramStart"/>
      <w:r w:rsidR="00D45301" w:rsidRPr="00D45301">
        <w:rPr>
          <w:rFonts w:ascii="Times New Roman" w:hAnsi="Times New Roman" w:cs="Times New Roman"/>
          <w:color w:val="000000" w:themeColor="text1"/>
          <w:sz w:val="24"/>
          <w:szCs w:val="24"/>
        </w:rPr>
        <w:t>inadequate;</w:t>
      </w:r>
      <w:proofErr w:type="gramEnd"/>
    </w:p>
    <w:p w14:paraId="318D8E39" w14:textId="77777777" w:rsidR="006B3EDD" w:rsidRPr="0037534F" w:rsidRDefault="006B3EDD"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sidRPr="00CF04A8">
        <w:rPr>
          <w:rFonts w:ascii="Times New Roman" w:eastAsia="Times New Roman" w:hAnsi="Times New Roman" w:cs="Times New Roman"/>
          <w:color w:val="000000" w:themeColor="text1"/>
          <w:sz w:val="24"/>
          <w:szCs w:val="24"/>
        </w:rPr>
        <w:t xml:space="preserve">Dark money spending through trade associations and social welfare groups presents unknown risks; and </w:t>
      </w:r>
    </w:p>
    <w:p w14:paraId="0518DB14" w14:textId="26C0785C" w:rsidR="000E6207" w:rsidRPr="0037534F" w:rsidRDefault="00FC2A6C" w:rsidP="000E6207">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EIX</w:t>
      </w:r>
      <w:r w:rsidR="000E6207" w:rsidRPr="0037534F">
        <w:rPr>
          <w:rFonts w:ascii="Times New Roman" w:eastAsia="Times New Roman" w:hAnsi="Times New Roman" w:cs="Times New Roman"/>
          <w:color w:val="000000" w:themeColor="text1"/>
          <w:sz w:val="24"/>
          <w:szCs w:val="24"/>
        </w:rPr>
        <w:t xml:space="preserve"> could easily provide details of its lobbying </w:t>
      </w:r>
      <w:r w:rsidR="00001E66">
        <w:rPr>
          <w:rFonts w:ascii="Times New Roman" w:eastAsia="Times New Roman" w:hAnsi="Times New Roman" w:cs="Times New Roman"/>
          <w:color w:val="000000" w:themeColor="text1"/>
          <w:sz w:val="24"/>
          <w:szCs w:val="24"/>
        </w:rPr>
        <w:t>in an annual report to shareholders</w:t>
      </w:r>
      <w:r w:rsidR="000E6207" w:rsidRPr="0037534F">
        <w:rPr>
          <w:rFonts w:ascii="Times New Roman" w:eastAsia="Times New Roman" w:hAnsi="Times New Roman" w:cs="Times New Roman"/>
          <w:color w:val="000000" w:themeColor="text1"/>
          <w:sz w:val="24"/>
          <w:szCs w:val="24"/>
        </w:rPr>
        <w:t>.</w:t>
      </w:r>
    </w:p>
    <w:p w14:paraId="25994D0F" w14:textId="77777777" w:rsidR="000E6207" w:rsidRDefault="000E6207" w:rsidP="000E6207">
      <w:pPr>
        <w:tabs>
          <w:tab w:val="left" w:pos="720"/>
        </w:tabs>
        <w:spacing w:after="0" w:line="240" w:lineRule="auto"/>
        <w:rPr>
          <w:rFonts w:ascii="Times New Roman" w:eastAsia="Calibri" w:hAnsi="Times New Roman" w:cs="Times New Roman"/>
          <w:sz w:val="24"/>
          <w:szCs w:val="24"/>
        </w:rPr>
      </w:pPr>
    </w:p>
    <w:p w14:paraId="4EFCE68B" w14:textId="06BAC188" w:rsidR="000E6207" w:rsidRPr="00E84EBB" w:rsidRDefault="000E6207" w:rsidP="00E84EBB">
      <w:pPr>
        <w:pStyle w:val="ListParagraph"/>
        <w:numPr>
          <w:ilvl w:val="0"/>
          <w:numId w:val="18"/>
        </w:numPr>
        <w:spacing w:after="0" w:line="240" w:lineRule="auto"/>
        <w:rPr>
          <w:rFonts w:eastAsiaTheme="minorEastAsia"/>
          <w:b/>
          <w:bCs/>
          <w:color w:val="000000" w:themeColor="text1"/>
          <w:sz w:val="28"/>
          <w:szCs w:val="28"/>
        </w:rPr>
      </w:pPr>
      <w:r w:rsidRPr="00E84EBB">
        <w:rPr>
          <w:rFonts w:ascii="Times New Roman" w:eastAsia="Times New Roman" w:hAnsi="Times New Roman" w:cs="Times New Roman"/>
          <w:b/>
          <w:bCs/>
          <w:color w:val="000000" w:themeColor="text1"/>
          <w:sz w:val="28"/>
          <w:szCs w:val="28"/>
        </w:rPr>
        <w:t xml:space="preserve">Corporate Reputation Is an Important Component of Shareholder Value </w:t>
      </w:r>
    </w:p>
    <w:p w14:paraId="572542ED" w14:textId="730309A9" w:rsidR="000E6207" w:rsidRPr="008C68B5" w:rsidRDefault="00FC2A6C" w:rsidP="000E6207">
      <w:pPr>
        <w:pStyle w:val="ListParagraph"/>
        <w:numPr>
          <w:ilvl w:val="0"/>
          <w:numId w:val="3"/>
        </w:numPr>
        <w:spacing w:after="0" w:line="240" w:lineRule="auto"/>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EIX</w:t>
      </w:r>
      <w:r w:rsidR="000E6207" w:rsidRPr="008C68B5">
        <w:rPr>
          <w:rFonts w:ascii="Times New Roman" w:eastAsia="Times New Roman" w:hAnsi="Times New Roman" w:cs="Times New Roman"/>
          <w:color w:val="000000" w:themeColor="text1"/>
          <w:sz w:val="24"/>
          <w:szCs w:val="24"/>
        </w:rPr>
        <w:t>’s failure to provide robust and complete disclosure of its lobbying activities and expenditures exposes it to potential reputational damage.</w:t>
      </w:r>
    </w:p>
    <w:p w14:paraId="4B857588" w14:textId="77777777" w:rsidR="000E6207" w:rsidRPr="006C0CE1" w:rsidRDefault="000E6207" w:rsidP="000E6207">
      <w:pPr>
        <w:numPr>
          <w:ilvl w:val="0"/>
          <w:numId w:val="4"/>
        </w:numPr>
        <w:spacing w:after="0" w:line="240" w:lineRule="auto"/>
        <w:contextualSpacing/>
        <w:rPr>
          <w:rFonts w:ascii="Times New Roman" w:eastAsia="Times New Roman" w:hAnsi="Times New Roman" w:cs="Times New Roman"/>
          <w:color w:val="000000"/>
          <w:sz w:val="24"/>
          <w:szCs w:val="24"/>
        </w:rPr>
      </w:pPr>
      <w:r w:rsidRPr="008C68B5">
        <w:rPr>
          <w:rFonts w:ascii="Times New Roman" w:eastAsia="Times New Roman" w:hAnsi="Times New Roman" w:cs="Times New Roman"/>
          <w:sz w:val="24"/>
          <w:szCs w:val="24"/>
        </w:rPr>
        <w:t>The 2018 Reputation Dividend Report estimates that “corporate reputation is now directly responsible for an average of 38% of market capitalization across the FTSE 100 &amp; 250.”</w:t>
      </w:r>
      <w:r w:rsidRPr="008C68B5">
        <w:rPr>
          <w:rFonts w:ascii="Times New Roman" w:eastAsia="Times New Roman" w:hAnsi="Times New Roman" w:cs="Times New Roman"/>
          <w:sz w:val="24"/>
          <w:szCs w:val="24"/>
          <w:vertAlign w:val="superscript"/>
        </w:rPr>
        <w:footnoteReference w:id="2"/>
      </w:r>
      <w:r w:rsidRPr="008C68B5">
        <w:rPr>
          <w:rFonts w:ascii="Times New Roman" w:eastAsia="Times New Roman" w:hAnsi="Times New Roman" w:cs="Times New Roman"/>
          <w:sz w:val="24"/>
          <w:szCs w:val="24"/>
        </w:rPr>
        <w:t xml:space="preserve"> The Ipsos Global Reputation Centre research across 31 countries shows</w:t>
      </w:r>
      <w:r w:rsidRPr="006C0CE1">
        <w:rPr>
          <w:rFonts w:ascii="Times New Roman" w:eastAsia="Times New Roman" w:hAnsi="Times New Roman" w:cs="Times New Roman"/>
          <w:sz w:val="24"/>
          <w:szCs w:val="24"/>
        </w:rPr>
        <w:t xml:space="preserve"> conclusive proof of the relationship between a good reputation and better business efficiency.</w:t>
      </w:r>
      <w:r w:rsidRPr="006C0CE1">
        <w:rPr>
          <w:rFonts w:ascii="Times New Roman" w:eastAsia="Times New Roman" w:hAnsi="Times New Roman" w:cs="Times New Roman"/>
          <w:sz w:val="24"/>
          <w:szCs w:val="24"/>
          <w:vertAlign w:val="superscript"/>
        </w:rPr>
        <w:footnoteReference w:id="3"/>
      </w:r>
    </w:p>
    <w:p w14:paraId="59FAD0C6" w14:textId="77777777" w:rsidR="000E6207" w:rsidRPr="006C0CE1" w:rsidRDefault="000E6207" w:rsidP="000E6207">
      <w:pPr>
        <w:numPr>
          <w:ilvl w:val="0"/>
          <w:numId w:val="4"/>
        </w:numPr>
        <w:spacing w:after="0" w:line="240" w:lineRule="auto"/>
        <w:contextualSpacing/>
        <w:rPr>
          <w:color w:val="000000" w:themeColor="text1"/>
          <w:sz w:val="24"/>
          <w:szCs w:val="24"/>
        </w:rPr>
      </w:pPr>
      <w:r w:rsidRPr="006C0CE1">
        <w:rPr>
          <w:rFonts w:ascii="Times New Roman" w:eastAsia="Times New Roman" w:hAnsi="Times New Roman" w:cs="Times New Roman"/>
          <w:color w:val="000000"/>
          <w:sz w:val="24"/>
          <w:szCs w:val="24"/>
        </w:rPr>
        <w:t>According to a Deloitte survey, 87 percent of executives rated reputation risk as more important or much more important than other strategic risks their companies are facing, and 88 percent said their companies are explicitly focusing on managing reputation risk.</w:t>
      </w:r>
      <w:r w:rsidRPr="006C0CE1">
        <w:rPr>
          <w:rFonts w:ascii="Times New Roman" w:eastAsia="Times New Roman" w:hAnsi="Times New Roman" w:cs="Times New Roman"/>
          <w:color w:val="000000"/>
          <w:sz w:val="24"/>
          <w:szCs w:val="24"/>
          <w:vertAlign w:val="superscript"/>
        </w:rPr>
        <w:footnoteReference w:id="4"/>
      </w:r>
      <w:r w:rsidRPr="006C0CE1">
        <w:rPr>
          <w:rFonts w:ascii="Times New Roman" w:eastAsia="Times New Roman" w:hAnsi="Times New Roman" w:cs="Times New Roman"/>
          <w:color w:val="000000"/>
          <w:sz w:val="24"/>
          <w:szCs w:val="24"/>
        </w:rPr>
        <w:t xml:space="preserve"> </w:t>
      </w:r>
    </w:p>
    <w:p w14:paraId="06282B21" w14:textId="77777777" w:rsidR="000E6207" w:rsidRDefault="000E6207" w:rsidP="000E6207">
      <w:pPr>
        <w:numPr>
          <w:ilvl w:val="0"/>
          <w:numId w:val="4"/>
        </w:numPr>
        <w:tabs>
          <w:tab w:val="left" w:pos="720"/>
        </w:tabs>
        <w:spacing w:after="0" w:line="240" w:lineRule="auto"/>
        <w:rPr>
          <w:sz w:val="24"/>
          <w:szCs w:val="24"/>
        </w:rPr>
      </w:pPr>
      <w:r w:rsidRPr="6231E2A2">
        <w:rPr>
          <w:rFonts w:ascii="Times New Roman" w:eastAsia="Times New Roman" w:hAnsi="Times New Roman" w:cs="Times New Roman"/>
          <w:color w:val="000000" w:themeColor="text1"/>
          <w:sz w:val="24"/>
          <w:szCs w:val="24"/>
        </w:rPr>
        <w:t>Clearly, corporate reputation has significant impact on shareholder value.</w:t>
      </w:r>
    </w:p>
    <w:p w14:paraId="4E0B3361" w14:textId="77777777" w:rsidR="000E6207" w:rsidRPr="00D850AC" w:rsidRDefault="000E6207" w:rsidP="000E6207">
      <w:pPr>
        <w:tabs>
          <w:tab w:val="left" w:pos="720"/>
        </w:tabs>
        <w:spacing w:after="0" w:line="240" w:lineRule="auto"/>
        <w:rPr>
          <w:rFonts w:ascii="Times New Roman" w:eastAsia="Times New Roman" w:hAnsi="Times New Roman" w:cs="Times New Roman"/>
          <w:color w:val="000000" w:themeColor="text1"/>
          <w:sz w:val="24"/>
          <w:szCs w:val="24"/>
        </w:rPr>
      </w:pPr>
    </w:p>
    <w:p w14:paraId="011B1F0E" w14:textId="65440D4F" w:rsidR="009E5963" w:rsidRPr="00D850AC" w:rsidRDefault="002A43C3" w:rsidP="009E5963">
      <w:pPr>
        <w:pStyle w:val="ListParagraph"/>
        <w:numPr>
          <w:ilvl w:val="0"/>
          <w:numId w:val="18"/>
        </w:numPr>
        <w:shd w:val="clear" w:color="auto" w:fill="FFFFFF" w:themeFill="background1"/>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Dark Money </w:t>
      </w:r>
      <w:r w:rsidR="009E5963" w:rsidRPr="00D850AC">
        <w:rPr>
          <w:rFonts w:ascii="Times New Roman" w:hAnsi="Times New Roman" w:cs="Times New Roman"/>
          <w:b/>
          <w:bCs/>
          <w:color w:val="000000" w:themeColor="text1"/>
          <w:sz w:val="28"/>
          <w:szCs w:val="28"/>
        </w:rPr>
        <w:t xml:space="preserve">Disclosure Gaps – </w:t>
      </w:r>
      <w:r w:rsidR="009E5963" w:rsidRPr="00D850AC">
        <w:rPr>
          <w:rFonts w:ascii="Times New Roman" w:hAnsi="Times New Roman" w:cs="Times New Roman"/>
          <w:b/>
          <w:bCs/>
          <w:sz w:val="28"/>
          <w:szCs w:val="28"/>
        </w:rPr>
        <w:t xml:space="preserve">EIX </w:t>
      </w:r>
      <w:r w:rsidR="009E5963" w:rsidRPr="00D850AC">
        <w:rPr>
          <w:rFonts w:ascii="Times New Roman" w:hAnsi="Times New Roman" w:cs="Times New Roman"/>
          <w:b/>
          <w:bCs/>
          <w:color w:val="000000" w:themeColor="text1"/>
          <w:sz w:val="28"/>
          <w:szCs w:val="28"/>
        </w:rPr>
        <w:t>Investors Need a Lobbying Report</w:t>
      </w:r>
    </w:p>
    <w:p w14:paraId="0883157C" w14:textId="3ADB5943" w:rsidR="009E5963" w:rsidRPr="00D850AC" w:rsidRDefault="009E5963" w:rsidP="00D850AC">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D850AC">
        <w:rPr>
          <w:rFonts w:ascii="Times New Roman" w:hAnsi="Times New Roman" w:cs="Times New Roman"/>
          <w:color w:val="000000" w:themeColor="text1"/>
          <w:sz w:val="24"/>
          <w:szCs w:val="24"/>
        </w:rPr>
        <w:t xml:space="preserve">Information on </w:t>
      </w:r>
      <w:r w:rsidR="006E1426" w:rsidRPr="00D850AC">
        <w:rPr>
          <w:rFonts w:ascii="Times New Roman" w:hAnsi="Times New Roman" w:cs="Times New Roman"/>
          <w:sz w:val="24"/>
          <w:szCs w:val="24"/>
        </w:rPr>
        <w:t>EIX</w:t>
      </w:r>
      <w:r w:rsidRPr="00D850AC">
        <w:rPr>
          <w:rFonts w:ascii="Times New Roman" w:hAnsi="Times New Roman" w:cs="Times New Roman"/>
          <w:color w:val="000000" w:themeColor="text1"/>
          <w:sz w:val="24"/>
          <w:szCs w:val="24"/>
        </w:rPr>
        <w:t xml:space="preserve">’s third-party lobbying spending is </w:t>
      </w:r>
      <w:r w:rsidR="001E2CC8" w:rsidRPr="00E84EBB">
        <w:rPr>
          <w:rFonts w:ascii="Times New Roman" w:eastAsia="Times New Roman" w:hAnsi="Times New Roman" w:cs="Times New Roman"/>
          <w:color w:val="000000" w:themeColor="text1"/>
          <w:sz w:val="24"/>
          <w:szCs w:val="24"/>
        </w:rPr>
        <w:t>difficult to obtain</w:t>
      </w:r>
      <w:r w:rsidR="001E2CC8">
        <w:rPr>
          <w:rFonts w:ascii="Times New Roman" w:hAnsi="Times New Roman" w:cs="Times New Roman"/>
          <w:color w:val="000000" w:themeColor="text1"/>
          <w:sz w:val="24"/>
          <w:szCs w:val="24"/>
        </w:rPr>
        <w:t xml:space="preserve">, </w:t>
      </w:r>
      <w:r w:rsidRPr="00D850AC">
        <w:rPr>
          <w:rFonts w:ascii="Times New Roman" w:hAnsi="Times New Roman" w:cs="Times New Roman"/>
          <w:color w:val="000000" w:themeColor="text1"/>
          <w:sz w:val="24"/>
          <w:szCs w:val="24"/>
        </w:rPr>
        <w:t xml:space="preserve">limited and non-consolidated. </w:t>
      </w:r>
      <w:r w:rsidR="008B19B2" w:rsidRPr="00D850AC">
        <w:rPr>
          <w:rFonts w:ascii="Times New Roman" w:hAnsi="Times New Roman" w:cs="Times New Roman"/>
          <w:sz w:val="24"/>
          <w:szCs w:val="24"/>
        </w:rPr>
        <w:t xml:space="preserve">To its </w:t>
      </w:r>
      <w:r w:rsidR="005129D1" w:rsidRPr="00D850AC">
        <w:rPr>
          <w:rFonts w:ascii="Times New Roman" w:hAnsi="Times New Roman" w:cs="Times New Roman"/>
          <w:sz w:val="24"/>
          <w:szCs w:val="24"/>
        </w:rPr>
        <w:t>credit</w:t>
      </w:r>
      <w:r w:rsidR="0054638C">
        <w:rPr>
          <w:rFonts w:ascii="Times New Roman" w:hAnsi="Times New Roman" w:cs="Times New Roman"/>
          <w:sz w:val="24"/>
          <w:szCs w:val="24"/>
        </w:rPr>
        <w:t>,</w:t>
      </w:r>
      <w:r w:rsidR="008B19B2" w:rsidRPr="00D850AC">
        <w:rPr>
          <w:rFonts w:ascii="Times New Roman" w:hAnsi="Times New Roman" w:cs="Times New Roman"/>
          <w:sz w:val="24"/>
          <w:szCs w:val="24"/>
        </w:rPr>
        <w:t xml:space="preserve"> EIX now provide</w:t>
      </w:r>
      <w:r w:rsidR="00172E87" w:rsidRPr="00D850AC">
        <w:rPr>
          <w:rFonts w:ascii="Times New Roman" w:hAnsi="Times New Roman" w:cs="Times New Roman"/>
          <w:sz w:val="24"/>
          <w:szCs w:val="24"/>
        </w:rPr>
        <w:t>s</w:t>
      </w:r>
      <w:r w:rsidR="008B19B2" w:rsidRPr="00D850AC">
        <w:rPr>
          <w:rFonts w:ascii="Times New Roman" w:hAnsi="Times New Roman" w:cs="Times New Roman"/>
          <w:sz w:val="24"/>
          <w:szCs w:val="24"/>
        </w:rPr>
        <w:t xml:space="preserve"> </w:t>
      </w:r>
      <w:r w:rsidR="00172E87" w:rsidRPr="00D850AC">
        <w:rPr>
          <w:rFonts w:ascii="Times New Roman" w:hAnsi="Times New Roman" w:cs="Times New Roman"/>
          <w:sz w:val="24"/>
          <w:szCs w:val="24"/>
        </w:rPr>
        <w:t>yearly federal and state lobbying</w:t>
      </w:r>
      <w:r w:rsidR="00222EC0">
        <w:rPr>
          <w:rFonts w:ascii="Times New Roman" w:hAnsi="Times New Roman" w:cs="Times New Roman"/>
          <w:sz w:val="24"/>
          <w:szCs w:val="24"/>
        </w:rPr>
        <w:t xml:space="preserve"> amounts</w:t>
      </w:r>
      <w:r w:rsidR="00172E87" w:rsidRPr="00D850AC">
        <w:rPr>
          <w:rFonts w:ascii="Times New Roman" w:hAnsi="Times New Roman" w:cs="Times New Roman"/>
          <w:sz w:val="24"/>
          <w:szCs w:val="24"/>
        </w:rPr>
        <w:t>, providing 2022 federal and state</w:t>
      </w:r>
      <w:r w:rsidR="005129D1" w:rsidRPr="00D850AC">
        <w:rPr>
          <w:rFonts w:ascii="Times New Roman" w:hAnsi="Times New Roman" w:cs="Times New Roman"/>
          <w:sz w:val="24"/>
          <w:szCs w:val="24"/>
        </w:rPr>
        <w:t xml:space="preserve"> </w:t>
      </w:r>
      <w:r w:rsidR="00D850AC" w:rsidRPr="00D850AC">
        <w:rPr>
          <w:rFonts w:ascii="Times New Roman" w:hAnsi="Times New Roman" w:cs="Times New Roman"/>
          <w:sz w:val="24"/>
          <w:szCs w:val="24"/>
        </w:rPr>
        <w:t>lobbying</w:t>
      </w:r>
      <w:r w:rsidR="00172E87" w:rsidRPr="00D850AC">
        <w:rPr>
          <w:rFonts w:ascii="Times New Roman" w:hAnsi="Times New Roman" w:cs="Times New Roman"/>
          <w:sz w:val="24"/>
          <w:szCs w:val="24"/>
        </w:rPr>
        <w:t xml:space="preserve"> figures in its 2023</w:t>
      </w:r>
      <w:r w:rsidR="005129D1" w:rsidRPr="00D850AC">
        <w:rPr>
          <w:rFonts w:ascii="Times New Roman" w:hAnsi="Times New Roman" w:cs="Times New Roman"/>
          <w:sz w:val="24"/>
          <w:szCs w:val="24"/>
        </w:rPr>
        <w:t xml:space="preserve"> Political Engagement Report</w:t>
      </w:r>
      <w:r w:rsidR="00172E87" w:rsidRPr="00D850AC">
        <w:rPr>
          <w:rFonts w:ascii="Times New Roman" w:hAnsi="Times New Roman" w:cs="Times New Roman"/>
          <w:sz w:val="24"/>
          <w:szCs w:val="24"/>
        </w:rPr>
        <w:t xml:space="preserve">. </w:t>
      </w:r>
      <w:r w:rsidR="005129D1" w:rsidRPr="00D850AC">
        <w:rPr>
          <w:rFonts w:ascii="Times New Roman" w:hAnsi="Times New Roman" w:cs="Times New Roman"/>
          <w:color w:val="000000" w:themeColor="text1"/>
          <w:sz w:val="24"/>
          <w:szCs w:val="24"/>
        </w:rPr>
        <w:t>But serious gaps remain</w:t>
      </w:r>
      <w:r w:rsidR="007E65D7" w:rsidRPr="00D850AC">
        <w:rPr>
          <w:rFonts w:ascii="Times New Roman" w:hAnsi="Times New Roman" w:cs="Times New Roman"/>
          <w:color w:val="000000" w:themeColor="text1"/>
          <w:sz w:val="24"/>
          <w:szCs w:val="24"/>
        </w:rPr>
        <w:t xml:space="preserve">, including a </w:t>
      </w:r>
      <w:r w:rsidR="008E1548" w:rsidRPr="00D850AC">
        <w:rPr>
          <w:rFonts w:ascii="Times New Roman" w:hAnsi="Times New Roman" w:cs="Times New Roman"/>
          <w:color w:val="000000" w:themeColor="text1"/>
          <w:sz w:val="24"/>
          <w:szCs w:val="24"/>
        </w:rPr>
        <w:t>trade</w:t>
      </w:r>
      <w:r w:rsidR="007E65D7" w:rsidRPr="00D850AC">
        <w:rPr>
          <w:rFonts w:ascii="Times New Roman" w:hAnsi="Times New Roman" w:cs="Times New Roman"/>
          <w:color w:val="000000" w:themeColor="text1"/>
          <w:sz w:val="24"/>
          <w:szCs w:val="24"/>
        </w:rPr>
        <w:t xml:space="preserve"> association </w:t>
      </w:r>
      <w:r w:rsidR="008E1548" w:rsidRPr="00D850AC">
        <w:rPr>
          <w:rFonts w:ascii="Times New Roman" w:hAnsi="Times New Roman" w:cs="Times New Roman"/>
          <w:color w:val="000000" w:themeColor="text1"/>
          <w:sz w:val="24"/>
          <w:szCs w:val="24"/>
        </w:rPr>
        <w:t xml:space="preserve">disclosure threshold which </w:t>
      </w:r>
      <w:r w:rsidR="00D850AC" w:rsidRPr="00D850AC">
        <w:rPr>
          <w:rFonts w:ascii="Times New Roman" w:hAnsi="Times New Roman" w:cs="Times New Roman"/>
          <w:color w:val="000000" w:themeColor="text1"/>
          <w:sz w:val="24"/>
          <w:szCs w:val="24"/>
        </w:rPr>
        <w:t>omits</w:t>
      </w:r>
      <w:r w:rsidR="008E1548" w:rsidRPr="00D850AC">
        <w:rPr>
          <w:rFonts w:ascii="Times New Roman" w:hAnsi="Times New Roman" w:cs="Times New Roman"/>
          <w:color w:val="000000" w:themeColor="text1"/>
          <w:sz w:val="24"/>
          <w:szCs w:val="24"/>
        </w:rPr>
        <w:t xml:space="preserve"> </w:t>
      </w:r>
      <w:r w:rsidR="00D850AC" w:rsidRPr="00D850AC">
        <w:rPr>
          <w:rFonts w:ascii="Times New Roman" w:hAnsi="Times New Roman" w:cs="Times New Roman"/>
          <w:color w:val="000000" w:themeColor="text1"/>
          <w:sz w:val="24"/>
          <w:szCs w:val="24"/>
        </w:rPr>
        <w:t xml:space="preserve">memberships </w:t>
      </w:r>
      <w:r w:rsidR="008E1548" w:rsidRPr="00D850AC">
        <w:rPr>
          <w:rFonts w:ascii="Times New Roman" w:hAnsi="Times New Roman" w:cs="Times New Roman"/>
          <w:color w:val="000000" w:themeColor="text1"/>
          <w:sz w:val="24"/>
          <w:szCs w:val="24"/>
        </w:rPr>
        <w:t xml:space="preserve">and a </w:t>
      </w:r>
      <w:r w:rsidR="004C70E0">
        <w:rPr>
          <w:rFonts w:ascii="Times New Roman" w:hAnsi="Times New Roman" w:cs="Times New Roman"/>
          <w:color w:val="000000" w:themeColor="text1"/>
          <w:sz w:val="24"/>
          <w:szCs w:val="24"/>
        </w:rPr>
        <w:t>failure to disclose</w:t>
      </w:r>
      <w:r w:rsidR="00586D92">
        <w:rPr>
          <w:rFonts w:ascii="Times New Roman" w:hAnsi="Times New Roman" w:cs="Times New Roman"/>
          <w:color w:val="000000" w:themeColor="text1"/>
          <w:sz w:val="24"/>
          <w:szCs w:val="24"/>
        </w:rPr>
        <w:t xml:space="preserve"> its support for</w:t>
      </w:r>
      <w:r w:rsidR="008E1548" w:rsidRPr="00D850AC">
        <w:rPr>
          <w:rFonts w:ascii="Times New Roman" w:hAnsi="Times New Roman" w:cs="Times New Roman"/>
          <w:color w:val="000000" w:themeColor="text1"/>
          <w:sz w:val="24"/>
          <w:szCs w:val="24"/>
        </w:rPr>
        <w:t xml:space="preserve"> 501</w:t>
      </w:r>
      <w:r w:rsidR="00817C47">
        <w:rPr>
          <w:rFonts w:ascii="Times New Roman" w:hAnsi="Times New Roman" w:cs="Times New Roman"/>
          <w:color w:val="000000" w:themeColor="text1"/>
          <w:sz w:val="24"/>
          <w:szCs w:val="24"/>
        </w:rPr>
        <w:t>(</w:t>
      </w:r>
      <w:r w:rsidR="008E1548" w:rsidRPr="00D850AC">
        <w:rPr>
          <w:rFonts w:ascii="Times New Roman" w:hAnsi="Times New Roman" w:cs="Times New Roman"/>
          <w:color w:val="000000" w:themeColor="text1"/>
          <w:sz w:val="24"/>
          <w:szCs w:val="24"/>
        </w:rPr>
        <w:t>c</w:t>
      </w:r>
      <w:r w:rsidR="00817C47">
        <w:rPr>
          <w:rFonts w:ascii="Times New Roman" w:hAnsi="Times New Roman" w:cs="Times New Roman"/>
          <w:color w:val="000000" w:themeColor="text1"/>
          <w:sz w:val="24"/>
          <w:szCs w:val="24"/>
        </w:rPr>
        <w:t>)(</w:t>
      </w:r>
      <w:r w:rsidR="008E1548" w:rsidRPr="00D850AC">
        <w:rPr>
          <w:rFonts w:ascii="Times New Roman" w:hAnsi="Times New Roman" w:cs="Times New Roman"/>
          <w:color w:val="000000" w:themeColor="text1"/>
          <w:sz w:val="24"/>
          <w:szCs w:val="24"/>
        </w:rPr>
        <w:t>4</w:t>
      </w:r>
      <w:r w:rsidR="00817C47">
        <w:rPr>
          <w:rFonts w:ascii="Times New Roman" w:hAnsi="Times New Roman" w:cs="Times New Roman"/>
          <w:color w:val="000000" w:themeColor="text1"/>
          <w:sz w:val="24"/>
          <w:szCs w:val="24"/>
        </w:rPr>
        <w:t>)</w:t>
      </w:r>
      <w:r w:rsidR="008E1548" w:rsidRPr="00D850AC">
        <w:rPr>
          <w:rFonts w:ascii="Times New Roman" w:hAnsi="Times New Roman" w:cs="Times New Roman"/>
          <w:color w:val="000000" w:themeColor="text1"/>
          <w:sz w:val="24"/>
          <w:szCs w:val="24"/>
        </w:rPr>
        <w:t xml:space="preserve"> social welfare groups, which present particular risk to </w:t>
      </w:r>
      <w:r w:rsidR="00D850AC" w:rsidRPr="00D850AC">
        <w:rPr>
          <w:rFonts w:ascii="Times New Roman" w:hAnsi="Times New Roman" w:cs="Times New Roman"/>
          <w:color w:val="000000" w:themeColor="text1"/>
          <w:sz w:val="24"/>
          <w:szCs w:val="24"/>
        </w:rPr>
        <w:t>utilities</w:t>
      </w:r>
      <w:r w:rsidR="008E1548" w:rsidRPr="00D850AC">
        <w:rPr>
          <w:rFonts w:ascii="Times New Roman" w:hAnsi="Times New Roman" w:cs="Times New Roman"/>
          <w:color w:val="000000" w:themeColor="text1"/>
          <w:sz w:val="24"/>
          <w:szCs w:val="24"/>
        </w:rPr>
        <w:t>.</w:t>
      </w:r>
    </w:p>
    <w:p w14:paraId="26AACA2E" w14:textId="77777777" w:rsidR="009E5963" w:rsidRDefault="009E5963" w:rsidP="006E1426">
      <w:pPr>
        <w:pStyle w:val="ListParagraph"/>
        <w:shd w:val="clear" w:color="auto" w:fill="FFFFFF" w:themeFill="background1"/>
        <w:spacing w:after="0" w:line="240" w:lineRule="auto"/>
        <w:ind w:left="360"/>
        <w:rPr>
          <w:rFonts w:ascii="Times New Roman" w:eastAsia="Times New Roman" w:hAnsi="Times New Roman" w:cs="Times New Roman"/>
          <w:b/>
          <w:bCs/>
          <w:color w:val="000000" w:themeColor="text1"/>
          <w:sz w:val="28"/>
          <w:szCs w:val="28"/>
        </w:rPr>
      </w:pPr>
    </w:p>
    <w:p w14:paraId="5BDEF665" w14:textId="77777777" w:rsidR="007C6476" w:rsidRPr="00A47C66" w:rsidRDefault="007C6476" w:rsidP="007C6476">
      <w:pPr>
        <w:pStyle w:val="ListParagraph"/>
        <w:numPr>
          <w:ilvl w:val="0"/>
          <w:numId w:val="18"/>
        </w:numPr>
        <w:tabs>
          <w:tab w:val="left" w:pos="720"/>
        </w:tabs>
        <w:spacing w:line="240" w:lineRule="auto"/>
        <w:rPr>
          <w:rFonts w:ascii="Times New Roman" w:eastAsia="Times New Roman" w:hAnsi="Times New Roman" w:cs="Times New Roman"/>
          <w:b/>
          <w:bCs/>
          <w:color w:val="000000" w:themeColor="text1"/>
          <w:sz w:val="28"/>
          <w:szCs w:val="28"/>
        </w:rPr>
      </w:pPr>
      <w:r w:rsidRPr="00A47C66">
        <w:rPr>
          <w:rFonts w:ascii="Times New Roman" w:eastAsia="Times New Roman" w:hAnsi="Times New Roman" w:cs="Times New Roman"/>
          <w:b/>
          <w:bCs/>
          <w:color w:val="000000" w:themeColor="text1"/>
          <w:sz w:val="28"/>
          <w:szCs w:val="28"/>
        </w:rPr>
        <w:t xml:space="preserve">The Company We Keep: </w:t>
      </w:r>
      <w:r>
        <w:rPr>
          <w:rFonts w:ascii="Times New Roman" w:eastAsia="Times New Roman" w:hAnsi="Times New Roman" w:cs="Times New Roman"/>
          <w:b/>
          <w:bCs/>
          <w:color w:val="000000" w:themeColor="text1"/>
          <w:sz w:val="28"/>
          <w:szCs w:val="28"/>
        </w:rPr>
        <w:t>EIX</w:t>
      </w:r>
      <w:r w:rsidRPr="00A47C66">
        <w:rPr>
          <w:rFonts w:ascii="Times New Roman" w:eastAsia="Times New Roman" w:hAnsi="Times New Roman" w:cs="Times New Roman"/>
          <w:b/>
          <w:bCs/>
          <w:color w:val="000000" w:themeColor="text1"/>
          <w:sz w:val="28"/>
          <w:szCs w:val="28"/>
        </w:rPr>
        <w:t xml:space="preserve"> Does Not Provide Comprehensive Dark Money Disclosure</w:t>
      </w:r>
    </w:p>
    <w:p w14:paraId="139F5956" w14:textId="77777777" w:rsidR="007C6476" w:rsidRPr="00CC3C6B" w:rsidRDefault="007C6476" w:rsidP="007C6476">
      <w:pPr>
        <w:pStyle w:val="ListParagraph"/>
        <w:numPr>
          <w:ilvl w:val="0"/>
          <w:numId w:val="8"/>
        </w:numPr>
        <w:tabs>
          <w:tab w:val="left" w:pos="720"/>
        </w:tabs>
        <w:spacing w:line="240" w:lineRule="auto"/>
        <w:rPr>
          <w:rFonts w:ascii="Times New Roman" w:eastAsia="Times New Roman" w:hAnsi="Times New Roman" w:cs="Times New Roman"/>
          <w:b/>
          <w:bCs/>
          <w:color w:val="000000" w:themeColor="text1"/>
          <w:sz w:val="28"/>
          <w:szCs w:val="28"/>
        </w:rPr>
      </w:pPr>
      <w:r w:rsidRPr="00CC3C6B">
        <w:rPr>
          <w:rFonts w:ascii="Times New Roman" w:eastAsia="Times New Roman" w:hAnsi="Times New Roman" w:cs="Times New Roman"/>
          <w:color w:val="000000" w:themeColor="text1"/>
          <w:sz w:val="24"/>
          <w:szCs w:val="24"/>
        </w:rPr>
        <w:t xml:space="preserve">Shareholder proposals for lobbying disclosure capture dark money spending where there are no limits on what a company can give, whether through trade associations </w:t>
      </w:r>
      <w:r>
        <w:rPr>
          <w:rFonts w:ascii="Times New Roman" w:eastAsia="Times New Roman" w:hAnsi="Times New Roman" w:cs="Times New Roman"/>
          <w:color w:val="000000" w:themeColor="text1"/>
          <w:sz w:val="24"/>
          <w:szCs w:val="24"/>
        </w:rPr>
        <w:t xml:space="preserve">(TAs) </w:t>
      </w:r>
      <w:r w:rsidRPr="00CC3C6B">
        <w:rPr>
          <w:rFonts w:ascii="Times New Roman" w:eastAsia="Times New Roman" w:hAnsi="Times New Roman" w:cs="Times New Roman"/>
          <w:color w:val="000000" w:themeColor="text1"/>
          <w:sz w:val="24"/>
          <w:szCs w:val="24"/>
        </w:rPr>
        <w:t>or social welfare group</w:t>
      </w:r>
      <w:r>
        <w:rPr>
          <w:rFonts w:ascii="Times New Roman" w:eastAsia="Times New Roman" w:hAnsi="Times New Roman" w:cs="Times New Roman"/>
          <w:color w:val="000000" w:themeColor="text1"/>
          <w:sz w:val="24"/>
          <w:szCs w:val="24"/>
        </w:rPr>
        <w:t xml:space="preserve"> (SWG</w:t>
      </w:r>
      <w:r w:rsidRPr="00CC3C6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w:t>
      </w:r>
      <w:r w:rsidRPr="00CC3C6B">
        <w:rPr>
          <w:rFonts w:ascii="Times New Roman" w:eastAsia="Times New Roman" w:hAnsi="Times New Roman" w:cs="Times New Roman"/>
          <w:color w:val="000000" w:themeColor="text1"/>
          <w:sz w:val="24"/>
          <w:szCs w:val="24"/>
        </w:rPr>
        <w:t xml:space="preserve">. While corporate donations to politicians and traditional PACs have strict limits, their payments to </w:t>
      </w:r>
      <w:r>
        <w:rPr>
          <w:rFonts w:ascii="Times New Roman" w:eastAsia="Times New Roman" w:hAnsi="Times New Roman" w:cs="Times New Roman"/>
          <w:color w:val="000000" w:themeColor="text1"/>
          <w:sz w:val="24"/>
          <w:szCs w:val="24"/>
        </w:rPr>
        <w:t>TAs</w:t>
      </w:r>
      <w:r w:rsidRPr="00CC3C6B">
        <w:rPr>
          <w:rFonts w:ascii="Times New Roman" w:eastAsia="Times New Roman" w:hAnsi="Times New Roman" w:cs="Times New Roman"/>
          <w:color w:val="000000" w:themeColor="text1"/>
          <w:sz w:val="24"/>
          <w:szCs w:val="24"/>
        </w:rPr>
        <w:t xml:space="preserve"> and 501(c)(4) </w:t>
      </w:r>
      <w:r>
        <w:rPr>
          <w:rFonts w:ascii="Times New Roman" w:eastAsia="Times New Roman" w:hAnsi="Times New Roman" w:cs="Times New Roman"/>
          <w:color w:val="000000" w:themeColor="text1"/>
          <w:sz w:val="24"/>
          <w:szCs w:val="24"/>
        </w:rPr>
        <w:t>SWGs</w:t>
      </w:r>
      <w:r w:rsidRPr="00CC3C6B">
        <w:rPr>
          <w:rFonts w:ascii="Times New Roman" w:eastAsia="Times New Roman" w:hAnsi="Times New Roman" w:cs="Times New Roman"/>
          <w:color w:val="000000" w:themeColor="text1"/>
          <w:sz w:val="24"/>
          <w:szCs w:val="24"/>
        </w:rPr>
        <w:t xml:space="preserve"> have no restrictions. Meaning companies can give unlimited amounts to third party groups that spend millions on lobbying and often undisclosed grassroots activity.</w:t>
      </w:r>
    </w:p>
    <w:p w14:paraId="6332E725" w14:textId="77777777" w:rsidR="007C6476" w:rsidRPr="00CC3C6B" w:rsidRDefault="007C6476" w:rsidP="007C6476">
      <w:pPr>
        <w:pStyle w:val="ListParagraph"/>
        <w:numPr>
          <w:ilvl w:val="0"/>
          <w:numId w:val="8"/>
        </w:numPr>
        <w:tabs>
          <w:tab w:val="left" w:pos="720"/>
        </w:tabs>
        <w:spacing w:line="240" w:lineRule="auto"/>
        <w:rPr>
          <w:rFonts w:ascii="Times New Roman" w:eastAsia="Times New Roman" w:hAnsi="Times New Roman" w:cs="Times New Roman"/>
          <w:b/>
          <w:bCs/>
          <w:color w:val="000000" w:themeColor="text1"/>
          <w:sz w:val="28"/>
          <w:szCs w:val="28"/>
        </w:rPr>
      </w:pPr>
      <w:r w:rsidRPr="00CC3C6B">
        <w:rPr>
          <w:rFonts w:ascii="Times New Roman" w:eastAsia="Times New Roman" w:hAnsi="Times New Roman" w:cs="Times New Roman"/>
          <w:color w:val="000000" w:themeColor="text1"/>
          <w:sz w:val="24"/>
          <w:szCs w:val="24"/>
        </w:rPr>
        <w:lastRenderedPageBreak/>
        <w:t>Undisclosed company payments dark money lobbying by trade associations and social welfare groups may be “</w:t>
      </w:r>
      <w:r w:rsidRPr="00CC3C6B">
        <w:rPr>
          <w:rFonts w:ascii="Times New Roman" w:hAnsi="Times New Roman" w:cs="Times New Roman"/>
          <w:sz w:val="24"/>
          <w:szCs w:val="24"/>
        </w:rPr>
        <w:t>at least double what is being reported.”</w:t>
      </w:r>
      <w:r w:rsidRPr="00C55720">
        <w:rPr>
          <w:rStyle w:val="FootnoteReference"/>
          <w:rFonts w:ascii="Times New Roman" w:hAnsi="Times New Roman"/>
          <w:sz w:val="24"/>
          <w:szCs w:val="24"/>
        </w:rPr>
        <w:footnoteReference w:id="5"/>
      </w:r>
      <w:r w:rsidRPr="00CC3C6B">
        <w:rPr>
          <w:rFonts w:ascii="Times New Roman" w:eastAsia="Times New Roman" w:hAnsi="Times New Roman" w:cs="Times New Roman"/>
          <w:color w:val="000000" w:themeColor="text1"/>
          <w:sz w:val="24"/>
          <w:szCs w:val="24"/>
        </w:rPr>
        <w:t xml:space="preserve"> In 2017, TAs and SWGs spent $535 million on disclosed lobbying and $675 million on unregulated efforts to influence public policy, including strategic consulting, broadcast advertising, media relations, social media posts, </w:t>
      </w:r>
      <w:proofErr w:type="gramStart"/>
      <w:r w:rsidRPr="00CC3C6B">
        <w:rPr>
          <w:rFonts w:ascii="Times New Roman" w:eastAsia="Times New Roman" w:hAnsi="Times New Roman" w:cs="Times New Roman"/>
          <w:color w:val="000000" w:themeColor="text1"/>
          <w:sz w:val="24"/>
          <w:szCs w:val="24"/>
        </w:rPr>
        <w:t>polling</w:t>
      </w:r>
      <w:proofErr w:type="gramEnd"/>
      <w:r w:rsidRPr="00CC3C6B">
        <w:rPr>
          <w:rFonts w:ascii="Times New Roman" w:eastAsia="Times New Roman" w:hAnsi="Times New Roman" w:cs="Times New Roman"/>
          <w:color w:val="000000" w:themeColor="text1"/>
          <w:sz w:val="24"/>
          <w:szCs w:val="24"/>
        </w:rPr>
        <w:t xml:space="preserve"> and funding for astroturf campaigns.</w:t>
      </w:r>
    </w:p>
    <w:p w14:paraId="54C670B7" w14:textId="77777777" w:rsidR="007C6476" w:rsidRDefault="007C6476" w:rsidP="00AD6C33">
      <w:pPr>
        <w:pStyle w:val="ListParagraph"/>
        <w:shd w:val="clear" w:color="auto" w:fill="FFFFFF" w:themeFill="background1"/>
        <w:spacing w:after="0" w:line="240" w:lineRule="auto"/>
        <w:ind w:left="360"/>
        <w:rPr>
          <w:rFonts w:ascii="Times New Roman" w:eastAsia="Times New Roman" w:hAnsi="Times New Roman" w:cs="Times New Roman"/>
          <w:b/>
          <w:bCs/>
          <w:color w:val="000000" w:themeColor="text1"/>
          <w:sz w:val="28"/>
          <w:szCs w:val="28"/>
        </w:rPr>
      </w:pPr>
    </w:p>
    <w:p w14:paraId="1EBEF864" w14:textId="4CC24B10" w:rsidR="000E6207" w:rsidRPr="00AD6C33" w:rsidRDefault="00EF77EA" w:rsidP="00AD6C33">
      <w:pPr>
        <w:shd w:val="clear" w:color="auto" w:fill="FFFFFF" w:themeFill="background1"/>
        <w:spacing w:after="0" w:line="240" w:lineRule="auto"/>
        <w:rPr>
          <w:rFonts w:ascii="Times New Roman" w:eastAsia="Times New Roman" w:hAnsi="Times New Roman" w:cs="Times New Roman"/>
          <w:b/>
          <w:bCs/>
          <w:color w:val="000000" w:themeColor="text1"/>
          <w:sz w:val="24"/>
          <w:szCs w:val="24"/>
        </w:rPr>
      </w:pPr>
      <w:r w:rsidRPr="00AD6C33">
        <w:rPr>
          <w:rFonts w:ascii="Times New Roman" w:eastAsia="Times New Roman" w:hAnsi="Times New Roman" w:cs="Times New Roman"/>
          <w:b/>
          <w:bCs/>
          <w:color w:val="000000" w:themeColor="text1"/>
          <w:sz w:val="24"/>
          <w:szCs w:val="24"/>
        </w:rPr>
        <w:t>Uti</w:t>
      </w:r>
      <w:r w:rsidR="001B0DF0" w:rsidRPr="00AD6C33">
        <w:rPr>
          <w:rFonts w:ascii="Times New Roman" w:eastAsia="Times New Roman" w:hAnsi="Times New Roman" w:cs="Times New Roman"/>
          <w:b/>
          <w:bCs/>
          <w:color w:val="000000" w:themeColor="text1"/>
          <w:sz w:val="24"/>
          <w:szCs w:val="24"/>
        </w:rPr>
        <w:t>lity Investor Risk</w:t>
      </w:r>
      <w:r w:rsidR="000E6207" w:rsidRPr="00AD6C33">
        <w:rPr>
          <w:rFonts w:ascii="Times New Roman" w:eastAsia="Times New Roman" w:hAnsi="Times New Roman" w:cs="Times New Roman"/>
          <w:b/>
          <w:bCs/>
          <w:color w:val="000000" w:themeColor="text1"/>
          <w:sz w:val="24"/>
          <w:szCs w:val="24"/>
        </w:rPr>
        <w:t xml:space="preserve"> - </w:t>
      </w:r>
      <w:r w:rsidR="00FC2A6C" w:rsidRPr="00AD6C33">
        <w:rPr>
          <w:rFonts w:ascii="Times New Roman" w:eastAsia="Times New Roman" w:hAnsi="Times New Roman" w:cs="Times New Roman"/>
          <w:b/>
          <w:bCs/>
          <w:color w:val="000000" w:themeColor="text1"/>
          <w:sz w:val="24"/>
          <w:szCs w:val="24"/>
        </w:rPr>
        <w:t>EIX</w:t>
      </w:r>
      <w:r w:rsidR="000E6207" w:rsidRPr="00AD6C33">
        <w:rPr>
          <w:rFonts w:ascii="Times New Roman" w:eastAsia="Times New Roman" w:hAnsi="Times New Roman" w:cs="Times New Roman"/>
          <w:b/>
          <w:bCs/>
          <w:color w:val="000000" w:themeColor="text1"/>
          <w:sz w:val="24"/>
          <w:szCs w:val="24"/>
        </w:rPr>
        <w:t xml:space="preserve"> Investors Need </w:t>
      </w:r>
      <w:r w:rsidR="00FC2A6C" w:rsidRPr="00AD6C33">
        <w:rPr>
          <w:rFonts w:ascii="Times New Roman" w:eastAsia="Times New Roman" w:hAnsi="Times New Roman" w:cs="Times New Roman"/>
          <w:b/>
          <w:bCs/>
          <w:color w:val="000000" w:themeColor="text1"/>
          <w:sz w:val="24"/>
          <w:szCs w:val="24"/>
        </w:rPr>
        <w:t>Disclosure of 501(c)(4)</w:t>
      </w:r>
      <w:proofErr w:type="gramStart"/>
      <w:r w:rsidR="00FC2A6C" w:rsidRPr="00AD6C33">
        <w:rPr>
          <w:rFonts w:ascii="Times New Roman" w:eastAsia="Times New Roman" w:hAnsi="Times New Roman" w:cs="Times New Roman"/>
          <w:b/>
          <w:bCs/>
          <w:color w:val="000000" w:themeColor="text1"/>
          <w:sz w:val="24"/>
          <w:szCs w:val="24"/>
        </w:rPr>
        <w:t>s</w:t>
      </w:r>
      <w:proofErr w:type="gramEnd"/>
    </w:p>
    <w:p w14:paraId="6E170BF6" w14:textId="4CEEF281" w:rsidR="00E33E06" w:rsidRPr="0077345F" w:rsidRDefault="00E33E06" w:rsidP="000E6207">
      <w:pPr>
        <w:pStyle w:val="ListParagraph"/>
        <w:numPr>
          <w:ilvl w:val="0"/>
          <w:numId w:val="6"/>
        </w:numPr>
        <w:shd w:val="clear" w:color="auto" w:fill="FFFFFF" w:themeFill="background1"/>
        <w:spacing w:after="0" w:line="240" w:lineRule="auto"/>
        <w:rPr>
          <w:rFonts w:ascii="Times New Roman" w:eastAsia="Times New Roman" w:hAnsi="Times New Roman" w:cs="Times New Roman"/>
          <w:b/>
          <w:bCs/>
          <w:sz w:val="28"/>
          <w:szCs w:val="28"/>
        </w:rPr>
      </w:pPr>
      <w:r w:rsidRPr="00A23CEF">
        <w:rPr>
          <w:rFonts w:ascii="Times New Roman" w:hAnsi="Times New Roman" w:cs="Times New Roman"/>
          <w:sz w:val="24"/>
          <w:szCs w:val="24"/>
        </w:rPr>
        <w:t xml:space="preserve">Given the number of </w:t>
      </w:r>
      <w:r w:rsidR="00FF6B13">
        <w:rPr>
          <w:rFonts w:ascii="Times New Roman" w:hAnsi="Times New Roman" w:cs="Times New Roman"/>
          <w:sz w:val="24"/>
          <w:szCs w:val="24"/>
        </w:rPr>
        <w:t xml:space="preserve">ongoing </w:t>
      </w:r>
      <w:r w:rsidRPr="00A23CEF">
        <w:rPr>
          <w:rFonts w:ascii="Times New Roman" w:hAnsi="Times New Roman" w:cs="Times New Roman"/>
          <w:sz w:val="24"/>
          <w:szCs w:val="24"/>
        </w:rPr>
        <w:t>utility dark money scandals</w:t>
      </w:r>
      <w:r w:rsidR="00BA3AA9">
        <w:rPr>
          <w:rFonts w:ascii="Times New Roman" w:hAnsi="Times New Roman" w:cs="Times New Roman"/>
          <w:sz w:val="24"/>
          <w:szCs w:val="24"/>
        </w:rPr>
        <w:t xml:space="preserve"> inv</w:t>
      </w:r>
      <w:r w:rsidR="00FF6B13">
        <w:rPr>
          <w:rFonts w:ascii="Times New Roman" w:hAnsi="Times New Roman" w:cs="Times New Roman"/>
          <w:sz w:val="24"/>
          <w:szCs w:val="24"/>
        </w:rPr>
        <w:t>olving undisclosed payments to social welfare groups at many of EIX’s peers, including First Energy, DTE Energy</w:t>
      </w:r>
      <w:r w:rsidR="00560E92">
        <w:rPr>
          <w:rFonts w:ascii="Times New Roman" w:hAnsi="Times New Roman" w:cs="Times New Roman"/>
          <w:sz w:val="24"/>
          <w:szCs w:val="24"/>
        </w:rPr>
        <w:t xml:space="preserve">, </w:t>
      </w:r>
      <w:r w:rsidR="00FF6B13">
        <w:rPr>
          <w:rFonts w:ascii="Times New Roman" w:hAnsi="Times New Roman" w:cs="Times New Roman"/>
          <w:sz w:val="24"/>
          <w:szCs w:val="24"/>
        </w:rPr>
        <w:t>Next</w:t>
      </w:r>
      <w:r w:rsidR="00C063E7">
        <w:rPr>
          <w:rFonts w:ascii="Times New Roman" w:hAnsi="Times New Roman" w:cs="Times New Roman"/>
          <w:sz w:val="24"/>
          <w:szCs w:val="24"/>
        </w:rPr>
        <w:t>Era Energy and Pinnacle West</w:t>
      </w:r>
      <w:r w:rsidRPr="00A23CEF">
        <w:rPr>
          <w:rFonts w:ascii="Times New Roman" w:hAnsi="Times New Roman" w:cs="Times New Roman"/>
          <w:sz w:val="24"/>
          <w:szCs w:val="24"/>
        </w:rPr>
        <w:t>, it is a clear risk for shareholders when utilities fail to disclose their payments to social welfare groups.</w:t>
      </w:r>
    </w:p>
    <w:p w14:paraId="3C0AB322" w14:textId="77777777" w:rsidR="004A2CF4" w:rsidRPr="0030225A" w:rsidRDefault="0077345F" w:rsidP="004A2CF4">
      <w:pPr>
        <w:pStyle w:val="ListParagraph"/>
        <w:numPr>
          <w:ilvl w:val="0"/>
          <w:numId w:val="6"/>
        </w:numPr>
        <w:shd w:val="clear" w:color="auto" w:fill="FFFFFF" w:themeFill="background1"/>
        <w:spacing w:after="0" w:line="240" w:lineRule="auto"/>
        <w:rPr>
          <w:rFonts w:ascii="Times New Roman" w:eastAsia="Times New Roman" w:hAnsi="Times New Roman" w:cs="Times New Roman"/>
          <w:b/>
          <w:bCs/>
          <w:sz w:val="28"/>
          <w:szCs w:val="28"/>
        </w:rPr>
      </w:pPr>
      <w:r w:rsidRPr="00A23CEF">
        <w:rPr>
          <w:rFonts w:ascii="Times New Roman" w:hAnsi="Times New Roman" w:cs="Times New Roman"/>
          <w:sz w:val="24"/>
          <w:szCs w:val="24"/>
        </w:rPr>
        <w:t>FirstEnergy’s trial over $60 million of dark-money payments led a prosecutor to note that</w:t>
      </w:r>
      <w:r w:rsidR="00D13FAC">
        <w:rPr>
          <w:rFonts w:ascii="Times New Roman" w:hAnsi="Times New Roman" w:cs="Times New Roman"/>
          <w:sz w:val="24"/>
          <w:szCs w:val="24"/>
        </w:rPr>
        <w:t xml:space="preserve"> </w:t>
      </w:r>
      <w:r w:rsidR="00D13FAC" w:rsidRPr="00D13FAC">
        <w:rPr>
          <w:rFonts w:ascii="Times New Roman" w:hAnsi="Times New Roman" w:cs="Times New Roman"/>
          <w:sz w:val="24"/>
          <w:szCs w:val="24"/>
        </w:rPr>
        <w:t>a social welfare group is “a perfect entity to receive a secret bribe</w:t>
      </w:r>
      <w:r w:rsidRPr="00A23CEF">
        <w:rPr>
          <w:rFonts w:ascii="Times New Roman" w:hAnsi="Times New Roman" w:cs="Times New Roman"/>
          <w:sz w:val="24"/>
          <w:szCs w:val="24"/>
        </w:rPr>
        <w:t>.”</w:t>
      </w:r>
      <w:r w:rsidR="007E50EF">
        <w:rPr>
          <w:rStyle w:val="FootnoteReference"/>
          <w:rFonts w:ascii="Times New Roman" w:hAnsi="Times New Roman"/>
          <w:sz w:val="24"/>
          <w:szCs w:val="24"/>
        </w:rPr>
        <w:footnoteReference w:id="6"/>
      </w:r>
      <w:r w:rsidR="00560E92">
        <w:rPr>
          <w:rFonts w:ascii="Times New Roman" w:hAnsi="Times New Roman" w:cs="Times New Roman"/>
          <w:sz w:val="24"/>
          <w:szCs w:val="24"/>
        </w:rPr>
        <w:t xml:space="preserve"> </w:t>
      </w:r>
      <w:r w:rsidR="009815F2" w:rsidRPr="009815F2">
        <w:rPr>
          <w:rFonts w:ascii="Times New Roman" w:hAnsi="Times New Roman" w:cs="Times New Roman"/>
          <w:sz w:val="24"/>
          <w:szCs w:val="24"/>
        </w:rPr>
        <w:t xml:space="preserve">And Sam Randazzo, one-time chair of the Public Utilities Commission of Ohio, recently died by suicide </w:t>
      </w:r>
      <w:r w:rsidR="0004358F">
        <w:rPr>
          <w:rFonts w:ascii="Times New Roman" w:hAnsi="Times New Roman" w:cs="Times New Roman"/>
          <w:sz w:val="24"/>
          <w:szCs w:val="24"/>
        </w:rPr>
        <w:t>while “</w:t>
      </w:r>
      <w:r w:rsidR="009815F2" w:rsidRPr="009815F2">
        <w:rPr>
          <w:rFonts w:ascii="Times New Roman" w:hAnsi="Times New Roman" w:cs="Times New Roman"/>
          <w:sz w:val="24"/>
          <w:szCs w:val="24"/>
        </w:rPr>
        <w:t>awaiting trial on charges he took millions in bribes in conjunction with the largest corruption scandal in Ohio</w:t>
      </w:r>
      <w:r w:rsidR="0004358F">
        <w:rPr>
          <w:rFonts w:ascii="Times New Roman" w:hAnsi="Times New Roman" w:cs="Times New Roman"/>
          <w:sz w:val="24"/>
          <w:szCs w:val="24"/>
        </w:rPr>
        <w:t>’</w:t>
      </w:r>
      <w:r w:rsidR="009815F2" w:rsidRPr="009815F2">
        <w:rPr>
          <w:rFonts w:ascii="Times New Roman" w:hAnsi="Times New Roman" w:cs="Times New Roman"/>
          <w:sz w:val="24"/>
          <w:szCs w:val="24"/>
        </w:rPr>
        <w:t>s history.</w:t>
      </w:r>
      <w:r w:rsidR="0004358F">
        <w:rPr>
          <w:rFonts w:ascii="Times New Roman" w:hAnsi="Times New Roman" w:cs="Times New Roman"/>
          <w:sz w:val="24"/>
          <w:szCs w:val="24"/>
        </w:rPr>
        <w:t>”</w:t>
      </w:r>
      <w:r w:rsidR="00E62B1C">
        <w:rPr>
          <w:rStyle w:val="FootnoteReference"/>
          <w:rFonts w:ascii="Times New Roman" w:hAnsi="Times New Roman"/>
          <w:sz w:val="24"/>
          <w:szCs w:val="24"/>
        </w:rPr>
        <w:footnoteReference w:id="7"/>
      </w:r>
      <w:r w:rsidR="004A2CF4">
        <w:rPr>
          <w:rFonts w:ascii="Times New Roman" w:hAnsi="Times New Roman" w:cs="Times New Roman"/>
          <w:sz w:val="24"/>
          <w:szCs w:val="24"/>
        </w:rPr>
        <w:t xml:space="preserve"> </w:t>
      </w:r>
      <w:r w:rsidR="004A2CF4" w:rsidRPr="00A23CEF">
        <w:rPr>
          <w:rFonts w:ascii="Times New Roman" w:hAnsi="Times New Roman" w:cs="Times New Roman"/>
          <w:sz w:val="24"/>
          <w:szCs w:val="24"/>
        </w:rPr>
        <w:t>S&amp;P n</w:t>
      </w:r>
      <w:r w:rsidR="004A2CF4" w:rsidRPr="00EF77EA">
        <w:rPr>
          <w:rFonts w:ascii="Times New Roman" w:hAnsi="Times New Roman" w:cs="Times New Roman"/>
          <w:sz w:val="24"/>
          <w:szCs w:val="24"/>
        </w:rPr>
        <w:t>otes the bribery scandal has increased scrutiny of how utilities use ‘dark money’ groups</w:t>
      </w:r>
      <w:r w:rsidR="004A2CF4" w:rsidRPr="00A23CEF">
        <w:rPr>
          <w:rFonts w:ascii="Times New Roman" w:hAnsi="Times New Roman" w:cs="Times New Roman"/>
          <w:sz w:val="24"/>
          <w:szCs w:val="24"/>
        </w:rPr>
        <w:t>.</w:t>
      </w:r>
      <w:r w:rsidR="004A2CF4">
        <w:rPr>
          <w:rStyle w:val="FootnoteReference"/>
          <w:rFonts w:ascii="Times New Roman" w:hAnsi="Times New Roman"/>
          <w:sz w:val="24"/>
          <w:szCs w:val="24"/>
        </w:rPr>
        <w:footnoteReference w:id="8"/>
      </w:r>
    </w:p>
    <w:p w14:paraId="03935A8C" w14:textId="6F27E434" w:rsidR="00472CDC" w:rsidRDefault="00472CDC" w:rsidP="000E6207">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472CDC">
        <w:rPr>
          <w:rFonts w:ascii="Times New Roman" w:eastAsia="Times New Roman" w:hAnsi="Times New Roman" w:cs="Times New Roman"/>
          <w:sz w:val="24"/>
          <w:szCs w:val="24"/>
        </w:rPr>
        <w:t>DTE Energy has come under scrutiny for</w:t>
      </w:r>
      <w:r w:rsidR="00A32061">
        <w:rPr>
          <w:rFonts w:ascii="Times New Roman" w:eastAsia="Times New Roman" w:hAnsi="Times New Roman" w:cs="Times New Roman"/>
          <w:sz w:val="24"/>
          <w:szCs w:val="24"/>
        </w:rPr>
        <w:t xml:space="preserve"> making</w:t>
      </w:r>
      <w:r w:rsidRPr="00472CDC">
        <w:rPr>
          <w:rFonts w:ascii="Times New Roman" w:eastAsia="Times New Roman" w:hAnsi="Times New Roman" w:cs="Times New Roman"/>
          <w:sz w:val="24"/>
          <w:szCs w:val="24"/>
        </w:rPr>
        <w:t xml:space="preserve"> undisclosed payments to a social welfare group that supported repeal of COVID emergency powers in Michigan.</w:t>
      </w:r>
      <w:r w:rsidR="00A514E5">
        <w:rPr>
          <w:rStyle w:val="FootnoteReference"/>
          <w:rFonts w:ascii="Times New Roman" w:eastAsia="Times New Roman" w:hAnsi="Times New Roman"/>
          <w:sz w:val="24"/>
          <w:szCs w:val="24"/>
        </w:rPr>
        <w:footnoteReference w:id="9"/>
      </w:r>
    </w:p>
    <w:p w14:paraId="2DFD4383" w14:textId="0E0E8280" w:rsidR="004A2CF4" w:rsidRDefault="004A2CF4" w:rsidP="000E6207">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4A2CF4">
        <w:rPr>
          <w:rFonts w:ascii="Times New Roman" w:eastAsia="Times New Roman" w:hAnsi="Times New Roman" w:cs="Times New Roman"/>
          <w:sz w:val="24"/>
          <w:szCs w:val="24"/>
        </w:rPr>
        <w:t xml:space="preserve">NextEra Energy faces a dark-money scandal over secret spending in Florida, as Florida Power and Light was reportedly behind a social welfare group </w:t>
      </w:r>
      <w:r w:rsidR="00BE622F">
        <w:rPr>
          <w:rFonts w:ascii="Times New Roman" w:eastAsia="Times New Roman" w:hAnsi="Times New Roman" w:cs="Times New Roman"/>
          <w:sz w:val="24"/>
          <w:szCs w:val="24"/>
        </w:rPr>
        <w:t>“</w:t>
      </w:r>
      <w:r w:rsidRPr="004A2CF4">
        <w:rPr>
          <w:rFonts w:ascii="Times New Roman" w:eastAsia="Times New Roman" w:hAnsi="Times New Roman" w:cs="Times New Roman"/>
          <w:sz w:val="24"/>
          <w:szCs w:val="24"/>
        </w:rPr>
        <w:t>that bankrolled $200,000 in dark money for former Gainesville city commissioner Charles Goston’s state Senate run.</w:t>
      </w:r>
      <w:r w:rsidR="00BE622F">
        <w:rPr>
          <w:rFonts w:ascii="Times New Roman" w:eastAsia="Times New Roman" w:hAnsi="Times New Roman" w:cs="Times New Roman"/>
          <w:sz w:val="24"/>
          <w:szCs w:val="24"/>
        </w:rPr>
        <w:t>”</w:t>
      </w:r>
      <w:r w:rsidR="00877502">
        <w:rPr>
          <w:rStyle w:val="FootnoteReference"/>
          <w:rFonts w:ascii="Times New Roman" w:eastAsia="Times New Roman" w:hAnsi="Times New Roman"/>
          <w:sz w:val="24"/>
          <w:szCs w:val="24"/>
        </w:rPr>
        <w:footnoteReference w:id="10"/>
      </w:r>
    </w:p>
    <w:p w14:paraId="2F7708CC" w14:textId="375FA0F3" w:rsidR="0029332B" w:rsidRDefault="0029332B" w:rsidP="000E6207">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29332B">
        <w:rPr>
          <w:rFonts w:ascii="Times New Roman" w:eastAsia="Times New Roman" w:hAnsi="Times New Roman" w:cs="Times New Roman"/>
          <w:sz w:val="24"/>
          <w:szCs w:val="24"/>
        </w:rPr>
        <w:t>Pinnacle West gave nearly $10.7 million to organizations that spent in the races for Corporation Commission in 2014. The Arizona Free Enterprise Club, a 501</w:t>
      </w:r>
      <w:r w:rsidR="009C01EB">
        <w:rPr>
          <w:rFonts w:ascii="Times New Roman" w:eastAsia="Times New Roman" w:hAnsi="Times New Roman" w:cs="Times New Roman"/>
          <w:sz w:val="24"/>
          <w:szCs w:val="24"/>
        </w:rPr>
        <w:t>(</w:t>
      </w:r>
      <w:r w:rsidRPr="0029332B">
        <w:rPr>
          <w:rFonts w:ascii="Times New Roman" w:eastAsia="Times New Roman" w:hAnsi="Times New Roman" w:cs="Times New Roman"/>
          <w:sz w:val="24"/>
          <w:szCs w:val="24"/>
        </w:rPr>
        <w:t>c</w:t>
      </w:r>
      <w:r w:rsidR="009C01EB">
        <w:rPr>
          <w:rFonts w:ascii="Times New Roman" w:eastAsia="Times New Roman" w:hAnsi="Times New Roman" w:cs="Times New Roman"/>
          <w:sz w:val="24"/>
          <w:szCs w:val="24"/>
        </w:rPr>
        <w:t>)(</w:t>
      </w:r>
      <w:r w:rsidRPr="0029332B">
        <w:rPr>
          <w:rFonts w:ascii="Times New Roman" w:eastAsia="Times New Roman" w:hAnsi="Times New Roman" w:cs="Times New Roman"/>
          <w:sz w:val="24"/>
          <w:szCs w:val="24"/>
        </w:rPr>
        <w:t>4</w:t>
      </w:r>
      <w:r w:rsidR="009C01EB">
        <w:rPr>
          <w:rFonts w:ascii="Times New Roman" w:eastAsia="Times New Roman" w:hAnsi="Times New Roman" w:cs="Times New Roman"/>
          <w:sz w:val="24"/>
          <w:szCs w:val="24"/>
        </w:rPr>
        <w:t>)</w:t>
      </w:r>
      <w:r w:rsidRPr="0029332B">
        <w:rPr>
          <w:rFonts w:ascii="Times New Roman" w:eastAsia="Times New Roman" w:hAnsi="Times New Roman" w:cs="Times New Roman"/>
          <w:sz w:val="24"/>
          <w:szCs w:val="24"/>
        </w:rPr>
        <w:t xml:space="preserve"> social welfare group, was the greatest recipient of the company’s dark-money, receiving $5.8 million.</w:t>
      </w:r>
      <w:r w:rsidR="007C21F0">
        <w:rPr>
          <w:rStyle w:val="FootnoteReference"/>
          <w:rFonts w:ascii="Times New Roman" w:eastAsia="Times New Roman" w:hAnsi="Times New Roman"/>
          <w:sz w:val="24"/>
          <w:szCs w:val="24"/>
        </w:rPr>
        <w:footnoteReference w:id="11"/>
      </w:r>
    </w:p>
    <w:p w14:paraId="411BBA85" w14:textId="77777777" w:rsidR="00B75BAB" w:rsidRPr="004B7ED9" w:rsidRDefault="00B75BAB" w:rsidP="003F3D3A">
      <w:pPr>
        <w:pStyle w:val="ListParagraph"/>
        <w:numPr>
          <w:ilvl w:val="0"/>
          <w:numId w:val="6"/>
        </w:numPr>
        <w:spacing w:after="0" w:line="240" w:lineRule="auto"/>
        <w:rPr>
          <w:rFonts w:ascii="Times New Roman" w:hAnsi="Times New Roman" w:cs="Times New Roman"/>
          <w:sz w:val="24"/>
          <w:szCs w:val="24"/>
        </w:rPr>
      </w:pPr>
      <w:r w:rsidRPr="004B7ED9">
        <w:rPr>
          <w:rFonts w:ascii="Times New Roman" w:hAnsi="Times New Roman" w:cs="Times New Roman"/>
          <w:sz w:val="24"/>
          <w:szCs w:val="24"/>
        </w:rPr>
        <w:lastRenderedPageBreak/>
        <w:t>An investigation found that EIX donated $1,035,188 to members of Affordable Clean Energy for All, described as a fake grassroots organization that claimed to represent low-income ratepayers.</w:t>
      </w:r>
      <w:r w:rsidRPr="004B7ED9">
        <w:rPr>
          <w:rStyle w:val="FootnoteReference"/>
          <w:rFonts w:ascii="Times New Roman" w:hAnsi="Times New Roman"/>
          <w:sz w:val="24"/>
          <w:szCs w:val="24"/>
        </w:rPr>
        <w:footnoteReference w:id="12"/>
      </w:r>
      <w:r w:rsidRPr="004B7ED9">
        <w:rPr>
          <w:rFonts w:ascii="Times New Roman" w:hAnsi="Times New Roman" w:cs="Times New Roman"/>
          <w:sz w:val="24"/>
          <w:szCs w:val="24"/>
        </w:rPr>
        <w:t xml:space="preserve"> </w:t>
      </w:r>
    </w:p>
    <w:p w14:paraId="0F6653D9" w14:textId="6A61B2F8" w:rsidR="003F3D3A" w:rsidRPr="00EA53F6" w:rsidRDefault="009523EB" w:rsidP="003F3D3A">
      <w:pPr>
        <w:pStyle w:val="ListParagraph"/>
        <w:numPr>
          <w:ilvl w:val="0"/>
          <w:numId w:val="6"/>
        </w:numPr>
        <w:spacing w:after="0" w:line="240" w:lineRule="auto"/>
        <w:rPr>
          <w:rFonts w:ascii="Times New Roman" w:hAnsi="Times New Roman" w:cs="Times New Roman"/>
          <w:sz w:val="24"/>
          <w:szCs w:val="24"/>
        </w:rPr>
      </w:pPr>
      <w:r w:rsidRPr="00EA53F6">
        <w:rPr>
          <w:rFonts w:ascii="Times New Roman" w:hAnsi="Times New Roman" w:cs="Times New Roman"/>
          <w:sz w:val="24"/>
          <w:szCs w:val="24"/>
        </w:rPr>
        <w:t xml:space="preserve">Research shows EIX </w:t>
      </w:r>
      <w:r w:rsidR="003F3D3A" w:rsidRPr="00EA53F6">
        <w:rPr>
          <w:rFonts w:ascii="Times New Roman" w:hAnsi="Times New Roman" w:cs="Times New Roman"/>
          <w:sz w:val="24"/>
          <w:szCs w:val="24"/>
        </w:rPr>
        <w:t xml:space="preserve">is a member of the </w:t>
      </w:r>
      <w:r w:rsidR="00EA53F6" w:rsidRPr="00EA53F6">
        <w:rPr>
          <w:rFonts w:ascii="Times New Roman" w:hAnsi="Times New Roman" w:cs="Times New Roman"/>
          <w:sz w:val="24"/>
          <w:szCs w:val="24"/>
        </w:rPr>
        <w:t>California Taxpayers Association</w:t>
      </w:r>
      <w:r w:rsidR="00EA53F6" w:rsidRPr="00EA53F6">
        <w:rPr>
          <w:rStyle w:val="FootnoteReference"/>
          <w:rFonts w:ascii="Times New Roman" w:hAnsi="Times New Roman"/>
          <w:sz w:val="24"/>
          <w:szCs w:val="24"/>
        </w:rPr>
        <w:footnoteReference w:id="13"/>
      </w:r>
      <w:r w:rsidR="00EA53F6" w:rsidRPr="00EA53F6">
        <w:rPr>
          <w:rFonts w:ascii="Times New Roman" w:hAnsi="Times New Roman" w:cs="Times New Roman"/>
          <w:sz w:val="24"/>
          <w:szCs w:val="24"/>
        </w:rPr>
        <w:t xml:space="preserve"> </w:t>
      </w:r>
      <w:r w:rsidR="003F3D3A" w:rsidRPr="00EA53F6">
        <w:rPr>
          <w:rFonts w:ascii="Times New Roman" w:hAnsi="Times New Roman" w:cs="Times New Roman"/>
          <w:sz w:val="24"/>
          <w:szCs w:val="24"/>
        </w:rPr>
        <w:t xml:space="preserve">and the </w:t>
      </w:r>
      <w:r w:rsidR="00A22C44">
        <w:rPr>
          <w:rFonts w:ascii="Times New Roman" w:hAnsi="Times New Roman" w:cs="Times New Roman"/>
          <w:sz w:val="24"/>
          <w:szCs w:val="24"/>
        </w:rPr>
        <w:t>Public Affairs Council,</w:t>
      </w:r>
      <w:r w:rsidR="00BF5C47">
        <w:rPr>
          <w:rStyle w:val="FootnoteReference"/>
          <w:rFonts w:ascii="Times New Roman" w:hAnsi="Times New Roman"/>
          <w:sz w:val="24"/>
          <w:szCs w:val="24"/>
        </w:rPr>
        <w:footnoteReference w:id="14"/>
      </w:r>
      <w:r w:rsidR="00A22C44">
        <w:rPr>
          <w:rFonts w:ascii="Times New Roman" w:hAnsi="Times New Roman" w:cs="Times New Roman"/>
          <w:sz w:val="24"/>
          <w:szCs w:val="24"/>
        </w:rPr>
        <w:t xml:space="preserve"> </w:t>
      </w:r>
      <w:r w:rsidR="003F3D3A" w:rsidRPr="00EA53F6">
        <w:rPr>
          <w:rFonts w:ascii="Times New Roman" w:hAnsi="Times New Roman" w:cs="Times New Roman"/>
          <w:sz w:val="24"/>
          <w:szCs w:val="24"/>
        </w:rPr>
        <w:t xml:space="preserve">both which are 501(c)(4) social welfare groups. What other social welfare memberships </w:t>
      </w:r>
      <w:r w:rsidRPr="00EA53F6">
        <w:rPr>
          <w:rFonts w:ascii="Times New Roman" w:hAnsi="Times New Roman" w:cs="Times New Roman"/>
          <w:sz w:val="24"/>
          <w:szCs w:val="24"/>
        </w:rPr>
        <w:t xml:space="preserve">and payments </w:t>
      </w:r>
      <w:r w:rsidR="003F3D3A" w:rsidRPr="00EA53F6">
        <w:rPr>
          <w:rFonts w:ascii="Times New Roman" w:hAnsi="Times New Roman" w:cs="Times New Roman"/>
          <w:sz w:val="24"/>
          <w:szCs w:val="24"/>
        </w:rPr>
        <w:t xml:space="preserve">are </w:t>
      </w:r>
      <w:r w:rsidRPr="00EA53F6">
        <w:rPr>
          <w:rFonts w:ascii="Times New Roman" w:hAnsi="Times New Roman" w:cs="Times New Roman"/>
          <w:sz w:val="24"/>
          <w:szCs w:val="24"/>
        </w:rPr>
        <w:t>EIX</w:t>
      </w:r>
      <w:r w:rsidR="003F3D3A" w:rsidRPr="00EA53F6">
        <w:rPr>
          <w:rFonts w:ascii="Times New Roman" w:hAnsi="Times New Roman" w:cs="Times New Roman"/>
          <w:sz w:val="24"/>
          <w:szCs w:val="24"/>
        </w:rPr>
        <w:t xml:space="preserve"> failing to disclose?</w:t>
      </w:r>
    </w:p>
    <w:p w14:paraId="5C8A03A3" w14:textId="77777777" w:rsidR="00A22C44" w:rsidRDefault="00A22C44" w:rsidP="003000CD">
      <w:pPr>
        <w:spacing w:after="0" w:line="240" w:lineRule="auto"/>
        <w:rPr>
          <w:rFonts w:ascii="Times New Roman" w:hAnsi="Times New Roman" w:cs="Times New Roman"/>
          <w:b/>
          <w:bCs/>
          <w:sz w:val="24"/>
          <w:szCs w:val="24"/>
        </w:rPr>
      </w:pPr>
    </w:p>
    <w:p w14:paraId="2B9D8496" w14:textId="5361731D" w:rsidR="003000CD" w:rsidRDefault="003000CD" w:rsidP="003000CD">
      <w:pPr>
        <w:spacing w:after="0" w:line="240" w:lineRule="auto"/>
        <w:rPr>
          <w:rFonts w:ascii="Times New Roman" w:hAnsi="Times New Roman" w:cs="Times New Roman"/>
          <w:b/>
          <w:bCs/>
          <w:sz w:val="24"/>
          <w:szCs w:val="24"/>
        </w:rPr>
      </w:pPr>
      <w:r w:rsidRPr="00CC3C6B">
        <w:rPr>
          <w:rFonts w:ascii="Times New Roman" w:hAnsi="Times New Roman" w:cs="Times New Roman"/>
          <w:b/>
          <w:bCs/>
          <w:sz w:val="24"/>
          <w:szCs w:val="24"/>
        </w:rPr>
        <w:t>Trade Association Blind Spot</w:t>
      </w:r>
      <w:r>
        <w:rPr>
          <w:rFonts w:ascii="Times New Roman" w:hAnsi="Times New Roman" w:cs="Times New Roman"/>
          <w:b/>
          <w:bCs/>
          <w:sz w:val="24"/>
          <w:szCs w:val="24"/>
        </w:rPr>
        <w:t xml:space="preserve">, </w:t>
      </w:r>
      <w:r w:rsidR="00D26294">
        <w:rPr>
          <w:rFonts w:ascii="Times New Roman" w:hAnsi="Times New Roman" w:cs="Times New Roman"/>
          <w:b/>
          <w:bCs/>
          <w:sz w:val="24"/>
          <w:szCs w:val="24"/>
        </w:rPr>
        <w:t xml:space="preserve">Leaves out </w:t>
      </w:r>
      <w:proofErr w:type="gramStart"/>
      <w:r w:rsidR="00D26294">
        <w:rPr>
          <w:rFonts w:ascii="Times New Roman" w:hAnsi="Times New Roman" w:cs="Times New Roman"/>
          <w:b/>
          <w:bCs/>
          <w:sz w:val="24"/>
          <w:szCs w:val="24"/>
        </w:rPr>
        <w:t>Memberships</w:t>
      </w:r>
      <w:proofErr w:type="gramEnd"/>
    </w:p>
    <w:p w14:paraId="54F43440" w14:textId="6CFB9461" w:rsidR="003000CD" w:rsidRPr="00932ABF" w:rsidRDefault="00FC2A6C" w:rsidP="003000CD">
      <w:pPr>
        <w:pStyle w:val="ListParagraph"/>
        <w:numPr>
          <w:ilvl w:val="0"/>
          <w:numId w:val="9"/>
        </w:numPr>
        <w:spacing w:after="0" w:line="240" w:lineRule="auto"/>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EIX</w:t>
      </w:r>
      <w:r w:rsidR="003000CD" w:rsidRPr="00932ABF">
        <w:rPr>
          <w:rFonts w:ascii="Times New Roman" w:eastAsia="Times New Roman" w:hAnsi="Times New Roman" w:cs="Times New Roman"/>
          <w:color w:val="000000" w:themeColor="text1"/>
          <w:sz w:val="24"/>
          <w:szCs w:val="24"/>
        </w:rPr>
        <w:t>’s disclosures of its participation and memberships in Trade Associations is limited, lacking detai</w:t>
      </w:r>
      <w:r w:rsidR="003000CD">
        <w:rPr>
          <w:rFonts w:ascii="Times New Roman" w:eastAsia="Times New Roman" w:hAnsi="Times New Roman" w:cs="Times New Roman"/>
          <w:color w:val="000000" w:themeColor="text1"/>
          <w:sz w:val="24"/>
          <w:szCs w:val="24"/>
        </w:rPr>
        <w:t>ls on payments and the portions used for lobbying</w:t>
      </w:r>
      <w:r w:rsidR="003000CD" w:rsidRPr="00932ABF">
        <w:rPr>
          <w:rFonts w:ascii="Times New Roman" w:eastAsia="Times New Roman" w:hAnsi="Times New Roman" w:cs="Times New Roman"/>
          <w:color w:val="000000" w:themeColor="text1"/>
          <w:sz w:val="24"/>
          <w:szCs w:val="24"/>
        </w:rPr>
        <w:t xml:space="preserve">, alignment with corporate priorities, and process and engagement.  </w:t>
      </w:r>
    </w:p>
    <w:p w14:paraId="303F64B9" w14:textId="77777777" w:rsidR="0012346C" w:rsidRDefault="003000CD" w:rsidP="003000CD">
      <w:pPr>
        <w:pStyle w:val="ListParagraph"/>
        <w:numPr>
          <w:ilvl w:val="0"/>
          <w:numId w:val="9"/>
        </w:numPr>
        <w:spacing w:after="0" w:line="240" w:lineRule="auto"/>
        <w:rPr>
          <w:rFonts w:ascii="Times New Roman" w:eastAsia="Times New Roman" w:hAnsi="Times New Roman" w:cs="Times New Roman"/>
          <w:sz w:val="24"/>
          <w:szCs w:val="24"/>
        </w:rPr>
      </w:pPr>
      <w:r w:rsidRPr="0012346C">
        <w:rPr>
          <w:rFonts w:ascii="Times New Roman" w:eastAsia="Times New Roman" w:hAnsi="Times New Roman" w:cs="Times New Roman"/>
          <w:sz w:val="24"/>
          <w:szCs w:val="24"/>
        </w:rPr>
        <w:t>Corporations make payments to trade associations that are used lobby indirectly on their behalf without specific disclosure or accountability. Trade associations spend hundreds of millions to lobby. For example, the US Chamber of Commerce has spent more than $1.8 billion since 1998.</w:t>
      </w:r>
      <w:r w:rsidRPr="696EF02E">
        <w:rPr>
          <w:rStyle w:val="FootnoteReference"/>
          <w:rFonts w:ascii="Times New Roman" w:eastAsia="Times New Roman" w:hAnsi="Times New Roman"/>
          <w:sz w:val="24"/>
          <w:szCs w:val="24"/>
        </w:rPr>
        <w:footnoteReference w:id="15"/>
      </w:r>
    </w:p>
    <w:p w14:paraId="5C9D6394" w14:textId="77777777" w:rsidR="00E20FF4" w:rsidRPr="00E20FF4" w:rsidRDefault="00FC2A6C" w:rsidP="00E20FF4">
      <w:pPr>
        <w:pStyle w:val="ListParagraph"/>
        <w:numPr>
          <w:ilvl w:val="0"/>
          <w:numId w:val="9"/>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EIX</w:t>
      </w:r>
      <w:r w:rsidR="003000CD" w:rsidRPr="0012346C">
        <w:rPr>
          <w:rFonts w:ascii="Times New Roman" w:eastAsia="Times New Roman" w:hAnsi="Times New Roman" w:cs="Times New Roman"/>
          <w:sz w:val="24"/>
          <w:szCs w:val="24"/>
        </w:rPr>
        <w:t xml:space="preserve"> shareholders face a trade association blind spot, as </w:t>
      </w:r>
      <w:r>
        <w:rPr>
          <w:rFonts w:ascii="Times New Roman" w:eastAsia="Times New Roman" w:hAnsi="Times New Roman" w:cs="Times New Roman"/>
          <w:sz w:val="24"/>
          <w:szCs w:val="24"/>
        </w:rPr>
        <w:t>EIX</w:t>
      </w:r>
      <w:r w:rsidR="003000CD" w:rsidRPr="0012346C">
        <w:rPr>
          <w:rFonts w:ascii="Times New Roman" w:eastAsia="Times New Roman" w:hAnsi="Times New Roman" w:cs="Times New Roman"/>
          <w:sz w:val="24"/>
          <w:szCs w:val="24"/>
        </w:rPr>
        <w:t xml:space="preserve"> fails to disclose its trade association </w:t>
      </w:r>
      <w:r w:rsidR="0064177A">
        <w:rPr>
          <w:rFonts w:ascii="Times New Roman" w:eastAsia="Times New Roman" w:hAnsi="Times New Roman" w:cs="Times New Roman"/>
          <w:sz w:val="24"/>
          <w:szCs w:val="24"/>
        </w:rPr>
        <w:t xml:space="preserve">memberships, </w:t>
      </w:r>
      <w:r w:rsidR="003000CD" w:rsidRPr="0012346C">
        <w:rPr>
          <w:rFonts w:ascii="Times New Roman" w:eastAsia="Times New Roman" w:hAnsi="Times New Roman" w:cs="Times New Roman"/>
          <w:sz w:val="24"/>
          <w:szCs w:val="24"/>
        </w:rPr>
        <w:t>payments</w:t>
      </w:r>
      <w:r w:rsidR="0064177A">
        <w:rPr>
          <w:rFonts w:ascii="Times New Roman" w:eastAsia="Times New Roman" w:hAnsi="Times New Roman" w:cs="Times New Roman"/>
          <w:sz w:val="24"/>
          <w:szCs w:val="24"/>
        </w:rPr>
        <w:t xml:space="preserve"> and mounts used for lobbying for </w:t>
      </w:r>
      <w:r w:rsidR="00E20FF4">
        <w:rPr>
          <w:rFonts w:ascii="Times New Roman" w:eastAsia="Times New Roman" w:hAnsi="Times New Roman" w:cs="Times New Roman"/>
          <w:sz w:val="24"/>
          <w:szCs w:val="24"/>
        </w:rPr>
        <w:t xml:space="preserve">all </w:t>
      </w:r>
      <w:r w:rsidR="0064177A">
        <w:rPr>
          <w:rFonts w:ascii="Times New Roman" w:eastAsia="Times New Roman" w:hAnsi="Times New Roman" w:cs="Times New Roman"/>
          <w:sz w:val="24"/>
          <w:szCs w:val="24"/>
        </w:rPr>
        <w:t xml:space="preserve">trade </w:t>
      </w:r>
      <w:r w:rsidR="00E20FF4">
        <w:rPr>
          <w:rFonts w:ascii="Times New Roman" w:eastAsia="Times New Roman" w:hAnsi="Times New Roman" w:cs="Times New Roman"/>
          <w:sz w:val="24"/>
          <w:szCs w:val="24"/>
        </w:rPr>
        <w:t>associations</w:t>
      </w:r>
      <w:r w:rsidR="0064177A">
        <w:rPr>
          <w:rFonts w:ascii="Times New Roman" w:eastAsia="Times New Roman" w:hAnsi="Times New Roman" w:cs="Times New Roman"/>
          <w:sz w:val="24"/>
          <w:szCs w:val="24"/>
        </w:rPr>
        <w:t xml:space="preserve"> </w:t>
      </w:r>
      <w:r w:rsidR="00E20FF4">
        <w:rPr>
          <w:rFonts w:ascii="Times New Roman" w:eastAsia="Times New Roman" w:hAnsi="Times New Roman" w:cs="Times New Roman"/>
          <w:sz w:val="24"/>
          <w:szCs w:val="24"/>
        </w:rPr>
        <w:t>receiving</w:t>
      </w:r>
      <w:r w:rsidR="0064177A">
        <w:rPr>
          <w:rFonts w:ascii="Times New Roman" w:eastAsia="Times New Roman" w:hAnsi="Times New Roman" w:cs="Times New Roman"/>
          <w:sz w:val="24"/>
          <w:szCs w:val="24"/>
        </w:rPr>
        <w:t xml:space="preserve"> </w:t>
      </w:r>
      <w:r w:rsidR="00E20FF4">
        <w:rPr>
          <w:rFonts w:ascii="Times New Roman" w:eastAsia="Times New Roman" w:hAnsi="Times New Roman" w:cs="Times New Roman"/>
          <w:sz w:val="24"/>
          <w:szCs w:val="24"/>
        </w:rPr>
        <w:t>less than $50,000</w:t>
      </w:r>
      <w:r w:rsidR="003000CD" w:rsidRPr="0012346C">
        <w:rPr>
          <w:rFonts w:ascii="Times New Roman" w:eastAsia="Times New Roman" w:hAnsi="Times New Roman" w:cs="Times New Roman"/>
          <w:sz w:val="24"/>
          <w:szCs w:val="24"/>
        </w:rPr>
        <w:t xml:space="preserve">. </w:t>
      </w:r>
    </w:p>
    <w:p w14:paraId="6F67A756" w14:textId="06BC3628" w:rsidR="00223008" w:rsidRPr="006332A5" w:rsidRDefault="00223008" w:rsidP="00E20FF4">
      <w:pPr>
        <w:pStyle w:val="ListParagraph"/>
        <w:numPr>
          <w:ilvl w:val="0"/>
          <w:numId w:val="9"/>
        </w:numPr>
        <w:spacing w:after="0" w:line="240" w:lineRule="auto"/>
        <w:rPr>
          <w:rFonts w:ascii="Times New Roman" w:hAnsi="Times New Roman" w:cs="Times New Roman"/>
          <w:sz w:val="24"/>
          <w:szCs w:val="24"/>
        </w:rPr>
      </w:pPr>
      <w:r w:rsidRPr="006332A5">
        <w:rPr>
          <w:rFonts w:ascii="Times New Roman" w:hAnsi="Times New Roman" w:cs="Times New Roman"/>
          <w:sz w:val="24"/>
          <w:szCs w:val="24"/>
        </w:rPr>
        <w:t>A</w:t>
      </w:r>
      <w:r w:rsidR="00E20FF4" w:rsidRPr="006332A5">
        <w:rPr>
          <w:rFonts w:ascii="Times New Roman" w:hAnsi="Times New Roman" w:cs="Times New Roman"/>
          <w:sz w:val="24"/>
          <w:szCs w:val="24"/>
        </w:rPr>
        <w:t>s a result,</w:t>
      </w:r>
      <w:r w:rsidRPr="006332A5">
        <w:rPr>
          <w:rFonts w:ascii="Times New Roman" w:hAnsi="Times New Roman" w:cs="Times New Roman"/>
          <w:sz w:val="24"/>
          <w:szCs w:val="24"/>
        </w:rPr>
        <w:t xml:space="preserve"> </w:t>
      </w:r>
      <w:r w:rsidR="00FC2A6C" w:rsidRPr="006332A5">
        <w:rPr>
          <w:rFonts w:ascii="Times New Roman" w:eastAsia="Times New Roman" w:hAnsi="Times New Roman" w:cs="Times New Roman"/>
          <w:color w:val="000000" w:themeColor="text1"/>
          <w:sz w:val="24"/>
          <w:szCs w:val="24"/>
        </w:rPr>
        <w:t>EIX</w:t>
      </w:r>
      <w:r w:rsidRPr="006332A5">
        <w:rPr>
          <w:rFonts w:ascii="Times New Roman" w:hAnsi="Times New Roman" w:cs="Times New Roman"/>
          <w:sz w:val="24"/>
          <w:szCs w:val="24"/>
        </w:rPr>
        <w:t xml:space="preserve">’s disclosure leaves out memberships in major trade associations that lobby, including </w:t>
      </w:r>
      <w:r w:rsidR="00F43FA6" w:rsidRPr="006332A5">
        <w:rPr>
          <w:rFonts w:ascii="Times New Roman" w:hAnsi="Times New Roman" w:cs="Times New Roman"/>
          <w:sz w:val="24"/>
          <w:szCs w:val="24"/>
        </w:rPr>
        <w:t>th</w:t>
      </w:r>
      <w:r w:rsidR="00782CD5">
        <w:rPr>
          <w:rFonts w:ascii="Times New Roman" w:hAnsi="Times New Roman" w:cs="Times New Roman"/>
          <w:sz w:val="24"/>
          <w:szCs w:val="24"/>
        </w:rPr>
        <w:t xml:space="preserve">e </w:t>
      </w:r>
      <w:r w:rsidR="0001770E" w:rsidRPr="006332A5">
        <w:rPr>
          <w:rFonts w:ascii="Times New Roman" w:hAnsi="Times New Roman" w:cs="Times New Roman"/>
          <w:sz w:val="24"/>
          <w:szCs w:val="24"/>
        </w:rPr>
        <w:t xml:space="preserve">California Electric Transportation Coalition Board, National Hydropower Association, Los Angeles Area Chamber </w:t>
      </w:r>
      <w:r w:rsidR="00B36B7F">
        <w:rPr>
          <w:rFonts w:ascii="Times New Roman" w:hAnsi="Times New Roman" w:cs="Times New Roman"/>
          <w:sz w:val="24"/>
          <w:szCs w:val="24"/>
        </w:rPr>
        <w:t>o</w:t>
      </w:r>
      <w:r w:rsidR="0001770E" w:rsidRPr="006332A5">
        <w:rPr>
          <w:rFonts w:ascii="Times New Roman" w:hAnsi="Times New Roman" w:cs="Times New Roman"/>
          <w:sz w:val="24"/>
          <w:szCs w:val="24"/>
        </w:rPr>
        <w:t xml:space="preserve">f Commerce, Los Angeles County Business Federation, Orange County Business Council, Valley Industry </w:t>
      </w:r>
      <w:r w:rsidR="00A94214">
        <w:rPr>
          <w:rFonts w:ascii="Times New Roman" w:hAnsi="Times New Roman" w:cs="Times New Roman"/>
          <w:sz w:val="24"/>
          <w:szCs w:val="24"/>
        </w:rPr>
        <w:t>a</w:t>
      </w:r>
      <w:r w:rsidR="0001770E" w:rsidRPr="006332A5">
        <w:rPr>
          <w:rFonts w:ascii="Times New Roman" w:hAnsi="Times New Roman" w:cs="Times New Roman"/>
          <w:sz w:val="24"/>
          <w:szCs w:val="24"/>
        </w:rPr>
        <w:t>nd Commerce Association and Zero Emission Transportation Association</w:t>
      </w:r>
      <w:r w:rsidR="00830CAA" w:rsidRPr="006332A5">
        <w:rPr>
          <w:rFonts w:ascii="Times New Roman" w:hAnsi="Times New Roman" w:cs="Times New Roman"/>
          <w:sz w:val="24"/>
          <w:szCs w:val="24"/>
        </w:rPr>
        <w:t>.</w:t>
      </w:r>
      <w:r w:rsidR="006332A5" w:rsidRPr="006332A5">
        <w:rPr>
          <w:rFonts w:ascii="Times New Roman" w:hAnsi="Times New Roman" w:cs="Times New Roman"/>
          <w:sz w:val="24"/>
          <w:szCs w:val="24"/>
        </w:rPr>
        <w:t xml:space="preserve"> What other trade association memberships </w:t>
      </w:r>
      <w:r w:rsidR="00782CD5">
        <w:rPr>
          <w:rFonts w:ascii="Times New Roman" w:hAnsi="Times New Roman" w:cs="Times New Roman"/>
          <w:sz w:val="24"/>
          <w:szCs w:val="24"/>
        </w:rPr>
        <w:t xml:space="preserve">and payments </w:t>
      </w:r>
      <w:r w:rsidR="006332A5" w:rsidRPr="006332A5">
        <w:rPr>
          <w:rFonts w:ascii="Times New Roman" w:hAnsi="Times New Roman" w:cs="Times New Roman"/>
          <w:sz w:val="24"/>
          <w:szCs w:val="24"/>
        </w:rPr>
        <w:t>are EIX failing to disclose?</w:t>
      </w:r>
    </w:p>
    <w:p w14:paraId="1C0990E2" w14:textId="77777777" w:rsidR="00022D29" w:rsidRPr="00FD1CAC" w:rsidRDefault="00022D29" w:rsidP="00A62A58">
      <w:pPr>
        <w:pStyle w:val="ListParagraph"/>
        <w:spacing w:after="0" w:line="240" w:lineRule="auto"/>
        <w:rPr>
          <w:rFonts w:ascii="Times New Roman" w:eastAsiaTheme="minorEastAsia" w:hAnsi="Times New Roman" w:cs="Times New Roman"/>
          <w:color w:val="000000" w:themeColor="text1"/>
          <w:sz w:val="24"/>
          <w:szCs w:val="24"/>
        </w:rPr>
      </w:pPr>
    </w:p>
    <w:p w14:paraId="05CCBAEB" w14:textId="37FFE216" w:rsidR="0089415A" w:rsidRPr="008E1396" w:rsidRDefault="00FC2A6C" w:rsidP="0089415A">
      <w:pPr>
        <w:pStyle w:val="ListParagraph"/>
        <w:numPr>
          <w:ilvl w:val="0"/>
          <w:numId w:val="18"/>
        </w:numPr>
        <w:tabs>
          <w:tab w:val="left" w:pos="720"/>
        </w:tabs>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EIX</w:t>
      </w:r>
      <w:r w:rsidR="00A62A58" w:rsidRPr="0036055D">
        <w:rPr>
          <w:rFonts w:ascii="Times New Roman" w:eastAsia="Times New Roman" w:hAnsi="Times New Roman" w:cs="Times New Roman"/>
          <w:b/>
          <w:bCs/>
          <w:color w:val="000000" w:themeColor="text1"/>
          <w:sz w:val="28"/>
          <w:szCs w:val="28"/>
        </w:rPr>
        <w:t xml:space="preserve"> </w:t>
      </w:r>
      <w:r w:rsidR="0089415A" w:rsidRPr="008E1396">
        <w:rPr>
          <w:rFonts w:ascii="Times New Roman" w:hAnsi="Times New Roman" w:cs="Times New Roman"/>
          <w:b/>
          <w:bCs/>
          <w:color w:val="000000" w:themeColor="text1"/>
          <w:sz w:val="28"/>
          <w:szCs w:val="28"/>
        </w:rPr>
        <w:t xml:space="preserve">Has Its Lobbying Information and Could Easily Report It to </w:t>
      </w:r>
      <w:r w:rsidR="00DA6395">
        <w:rPr>
          <w:rFonts w:ascii="Times New Roman" w:hAnsi="Times New Roman" w:cs="Times New Roman"/>
          <w:b/>
          <w:bCs/>
          <w:color w:val="000000" w:themeColor="text1"/>
          <w:sz w:val="28"/>
          <w:szCs w:val="28"/>
        </w:rPr>
        <w:t>Shareholder</w:t>
      </w:r>
      <w:r w:rsidR="0089415A" w:rsidRPr="008E1396">
        <w:rPr>
          <w:rFonts w:ascii="Times New Roman" w:hAnsi="Times New Roman" w:cs="Times New Roman"/>
          <w:b/>
          <w:bCs/>
          <w:color w:val="000000" w:themeColor="text1"/>
          <w:sz w:val="28"/>
          <w:szCs w:val="28"/>
        </w:rPr>
        <w:t>s</w:t>
      </w:r>
    </w:p>
    <w:p w14:paraId="1A2B6EFD" w14:textId="63757C2F" w:rsidR="0089415A" w:rsidRPr="005B06AE" w:rsidRDefault="00FC2A6C" w:rsidP="0089415A">
      <w:pPr>
        <w:pStyle w:val="ListParagraph"/>
        <w:numPr>
          <w:ilvl w:val="0"/>
          <w:numId w:val="19"/>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EIX</w:t>
      </w:r>
      <w:r w:rsidR="0089415A" w:rsidRPr="005B06AE">
        <w:rPr>
          <w:rFonts w:ascii="Times New Roman" w:hAnsi="Times New Roman" w:cs="Times New Roman"/>
          <w:color w:val="000000" w:themeColor="text1"/>
          <w:sz w:val="24"/>
          <w:szCs w:val="24"/>
        </w:rPr>
        <w:t xml:space="preserve"> states that </w:t>
      </w:r>
      <w:r w:rsidR="005334A0">
        <w:rPr>
          <w:rFonts w:ascii="Times New Roman" w:hAnsi="Times New Roman" w:cs="Times New Roman"/>
          <w:color w:val="000000" w:themeColor="text1"/>
          <w:sz w:val="24"/>
          <w:szCs w:val="24"/>
        </w:rPr>
        <w:t xml:space="preserve">it </w:t>
      </w:r>
      <w:r w:rsidR="007B2C47" w:rsidRPr="007B2C47">
        <w:rPr>
          <w:rFonts w:ascii="Times New Roman" w:hAnsi="Times New Roman" w:cs="Times New Roman"/>
          <w:color w:val="000000"/>
          <w:sz w:val="24"/>
          <w:szCs w:val="24"/>
          <w:shd w:val="clear" w:color="auto" w:fill="FFFFFF"/>
        </w:rPr>
        <w:t xml:space="preserve">believes </w:t>
      </w:r>
      <w:r w:rsidR="005334A0">
        <w:rPr>
          <w:rFonts w:ascii="Times New Roman" w:hAnsi="Times New Roman" w:cs="Times New Roman"/>
          <w:color w:val="000000"/>
          <w:sz w:val="24"/>
          <w:szCs w:val="24"/>
          <w:shd w:val="clear" w:color="auto" w:fill="FFFFFF"/>
        </w:rPr>
        <w:t>“</w:t>
      </w:r>
      <w:r w:rsidR="001738AD">
        <w:rPr>
          <w:rFonts w:ascii="Times New Roman" w:hAnsi="Times New Roman" w:cs="Times New Roman"/>
          <w:color w:val="000000"/>
          <w:sz w:val="24"/>
          <w:szCs w:val="24"/>
          <w:shd w:val="clear" w:color="auto" w:fill="FFFFFF"/>
        </w:rPr>
        <w:t xml:space="preserve">it </w:t>
      </w:r>
      <w:r w:rsidR="001738AD" w:rsidRPr="001738AD">
        <w:rPr>
          <w:rFonts w:ascii="Times New Roman" w:hAnsi="Times New Roman" w:cs="Times New Roman"/>
          <w:color w:val="000000"/>
          <w:sz w:val="24"/>
          <w:szCs w:val="24"/>
          <w:shd w:val="clear" w:color="auto" w:fill="FFFFFF"/>
        </w:rPr>
        <w:t>already provides transparent disclosure of our political engagement activities, including the Company’s lobbying-related activity.</w:t>
      </w:r>
      <w:r w:rsidR="0089415A" w:rsidRPr="005B06AE">
        <w:rPr>
          <w:rFonts w:ascii="Times New Roman" w:hAnsi="Times New Roman" w:cs="Times New Roman"/>
          <w:sz w:val="24"/>
          <w:szCs w:val="24"/>
        </w:rPr>
        <w:t>”</w:t>
      </w:r>
    </w:p>
    <w:p w14:paraId="0F4D9A6F" w14:textId="59C7C557" w:rsidR="0089415A" w:rsidRDefault="0089415A" w:rsidP="0089415A">
      <w:pPr>
        <w:pStyle w:val="ListParagraph"/>
        <w:numPr>
          <w:ilvl w:val="0"/>
          <w:numId w:val="19"/>
        </w:numPr>
        <w:spacing w:after="0" w:line="240" w:lineRule="auto"/>
        <w:rPr>
          <w:rFonts w:ascii="Times New Roman" w:hAnsi="Times New Roman" w:cs="Times New Roman"/>
          <w:color w:val="000000" w:themeColor="text1"/>
          <w:sz w:val="24"/>
          <w:szCs w:val="24"/>
        </w:rPr>
      </w:pPr>
      <w:r w:rsidRPr="005B06AE">
        <w:rPr>
          <w:rFonts w:ascii="Times New Roman" w:hAnsi="Times New Roman" w:cs="Times New Roman"/>
          <w:color w:val="000000" w:themeColor="text1"/>
          <w:sz w:val="24"/>
          <w:szCs w:val="24"/>
        </w:rPr>
        <w:t xml:space="preserve">This argument is disingenuous, as </w:t>
      </w:r>
      <w:r w:rsidR="005334A0">
        <w:rPr>
          <w:rFonts w:ascii="Times New Roman" w:hAnsi="Times New Roman" w:cs="Times New Roman"/>
          <w:color w:val="000000" w:themeColor="text1"/>
          <w:sz w:val="24"/>
          <w:szCs w:val="24"/>
        </w:rPr>
        <w:t>there are serious dark money gaps as descri</w:t>
      </w:r>
      <w:r w:rsidR="00EC2818">
        <w:rPr>
          <w:rFonts w:ascii="Times New Roman" w:hAnsi="Times New Roman" w:cs="Times New Roman"/>
          <w:color w:val="000000" w:themeColor="text1"/>
          <w:sz w:val="24"/>
          <w:szCs w:val="24"/>
        </w:rPr>
        <w:t xml:space="preserve">bed above. </w:t>
      </w:r>
      <w:r w:rsidR="00FC2A6C">
        <w:rPr>
          <w:rFonts w:ascii="Times New Roman" w:hAnsi="Times New Roman" w:cs="Times New Roman"/>
          <w:color w:val="000000" w:themeColor="text1"/>
          <w:sz w:val="24"/>
          <w:szCs w:val="24"/>
        </w:rPr>
        <w:t>EIX</w:t>
      </w:r>
      <w:r w:rsidRPr="005B06AE">
        <w:rPr>
          <w:rFonts w:ascii="Times New Roman" w:hAnsi="Times New Roman" w:cs="Times New Roman"/>
          <w:color w:val="000000" w:themeColor="text1"/>
          <w:sz w:val="24"/>
          <w:szCs w:val="24"/>
        </w:rPr>
        <w:t xml:space="preserve"> is required to report its federal and state lobbying, including a</w:t>
      </w:r>
      <w:r w:rsidR="00EC2818">
        <w:rPr>
          <w:rFonts w:ascii="Times New Roman" w:hAnsi="Times New Roman" w:cs="Times New Roman"/>
          <w:color w:val="000000" w:themeColor="text1"/>
          <w:sz w:val="24"/>
          <w:szCs w:val="24"/>
        </w:rPr>
        <w:t>ny</w:t>
      </w:r>
      <w:r w:rsidRPr="005B06AE">
        <w:rPr>
          <w:rFonts w:ascii="Times New Roman" w:hAnsi="Times New Roman" w:cs="Times New Roman"/>
          <w:color w:val="000000" w:themeColor="text1"/>
          <w:sz w:val="24"/>
          <w:szCs w:val="24"/>
        </w:rPr>
        <w:t xml:space="preserve"> indirect lobbying through its trade associations and social welfare groups, and has </w:t>
      </w:r>
      <w:proofErr w:type="gramStart"/>
      <w:r w:rsidRPr="005B06AE">
        <w:rPr>
          <w:rFonts w:ascii="Times New Roman" w:hAnsi="Times New Roman" w:cs="Times New Roman"/>
          <w:color w:val="000000" w:themeColor="text1"/>
          <w:sz w:val="24"/>
          <w:szCs w:val="24"/>
        </w:rPr>
        <w:t>all of</w:t>
      </w:r>
      <w:proofErr w:type="gramEnd"/>
      <w:r w:rsidRPr="005B06AE">
        <w:rPr>
          <w:rFonts w:ascii="Times New Roman" w:hAnsi="Times New Roman" w:cs="Times New Roman"/>
          <w:color w:val="000000" w:themeColor="text1"/>
          <w:sz w:val="24"/>
          <w:szCs w:val="24"/>
        </w:rPr>
        <w:t xml:space="preserve"> this information, so it could be readily provided to </w:t>
      </w:r>
      <w:r w:rsidR="00DA6395">
        <w:rPr>
          <w:rFonts w:ascii="Times New Roman" w:hAnsi="Times New Roman" w:cs="Times New Roman"/>
          <w:color w:val="000000" w:themeColor="text1"/>
          <w:sz w:val="24"/>
          <w:szCs w:val="24"/>
        </w:rPr>
        <w:t>shareholder</w:t>
      </w:r>
      <w:r w:rsidRPr="005B06AE">
        <w:rPr>
          <w:rFonts w:ascii="Times New Roman" w:hAnsi="Times New Roman" w:cs="Times New Roman"/>
          <w:color w:val="000000" w:themeColor="text1"/>
          <w:sz w:val="24"/>
          <w:szCs w:val="24"/>
        </w:rPr>
        <w:t xml:space="preserve">s in a single report at minimal expense. </w:t>
      </w:r>
    </w:p>
    <w:p w14:paraId="7F254B33" w14:textId="0F6EF549" w:rsidR="006619F4" w:rsidRPr="00616D35" w:rsidRDefault="00FC2A6C" w:rsidP="0089415A">
      <w:pPr>
        <w:pStyle w:val="ListParagraph"/>
        <w:numPr>
          <w:ilvl w:val="0"/>
          <w:numId w:val="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EIX</w:t>
      </w:r>
      <w:r w:rsidR="006619F4">
        <w:rPr>
          <w:rFonts w:ascii="Times New Roman" w:hAnsi="Times New Roman" w:cs="Times New Roman"/>
          <w:color w:val="000000" w:themeColor="text1"/>
          <w:sz w:val="24"/>
          <w:szCs w:val="24"/>
        </w:rPr>
        <w:t xml:space="preserve"> </w:t>
      </w:r>
      <w:r w:rsidR="006619F4">
        <w:rPr>
          <w:rFonts w:ascii="Times New Roman" w:eastAsia="Times New Roman" w:hAnsi="Times New Roman" w:cs="Times New Roman"/>
          <w:color w:val="000000" w:themeColor="text1"/>
          <w:sz w:val="24"/>
          <w:szCs w:val="24"/>
        </w:rPr>
        <w:t>discusses a high ranking for political contributions disclosure, yet this proposal is asking for lobbying disclosure. It is disingenuous and misleading for our company to confuse this point</w:t>
      </w:r>
      <w:r w:rsidR="00931413">
        <w:rPr>
          <w:rFonts w:ascii="Times New Roman" w:eastAsia="Times New Roman" w:hAnsi="Times New Roman" w:cs="Times New Roman"/>
          <w:color w:val="000000" w:themeColor="text1"/>
          <w:sz w:val="24"/>
          <w:szCs w:val="24"/>
        </w:rPr>
        <w:t>.</w:t>
      </w:r>
      <w:r w:rsidR="006619F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EIX</w:t>
      </w:r>
      <w:r w:rsidR="006619F4">
        <w:rPr>
          <w:rFonts w:ascii="Times New Roman" w:eastAsia="Times New Roman" w:hAnsi="Times New Roman" w:cs="Times New Roman"/>
          <w:color w:val="000000" w:themeColor="text1"/>
          <w:sz w:val="24"/>
          <w:szCs w:val="24"/>
        </w:rPr>
        <w:t xml:space="preserve">’s </w:t>
      </w:r>
      <w:r w:rsidR="006619F4" w:rsidRPr="696EF02E">
        <w:rPr>
          <w:rFonts w:ascii="Times New Roman" w:eastAsia="Times New Roman" w:hAnsi="Times New Roman" w:cs="Times New Roman"/>
          <w:color w:val="000000" w:themeColor="text1"/>
          <w:sz w:val="24"/>
          <w:szCs w:val="24"/>
        </w:rPr>
        <w:t>CPA-</w:t>
      </w:r>
      <w:proofErr w:type="spellStart"/>
      <w:r w:rsidR="006619F4" w:rsidRPr="696EF02E">
        <w:rPr>
          <w:rFonts w:ascii="Times New Roman" w:eastAsia="Times New Roman" w:hAnsi="Times New Roman" w:cs="Times New Roman"/>
          <w:color w:val="000000" w:themeColor="text1"/>
          <w:sz w:val="24"/>
          <w:szCs w:val="24"/>
        </w:rPr>
        <w:t>Zicklin</w:t>
      </w:r>
      <w:proofErr w:type="spellEnd"/>
      <w:r w:rsidR="006619F4" w:rsidRPr="696EF02E">
        <w:rPr>
          <w:rFonts w:ascii="Times New Roman" w:eastAsia="Times New Roman" w:hAnsi="Times New Roman" w:cs="Times New Roman"/>
          <w:color w:val="000000" w:themeColor="text1"/>
          <w:sz w:val="24"/>
          <w:szCs w:val="24"/>
        </w:rPr>
        <w:t xml:space="preserve"> ranking has nothing to do with lobbying spending disclosure.</w:t>
      </w:r>
    </w:p>
    <w:p w14:paraId="737B3BCF" w14:textId="6E1C9997" w:rsidR="00616D35" w:rsidRPr="005B06AE" w:rsidRDefault="00616D35" w:rsidP="0089415A">
      <w:pPr>
        <w:pStyle w:val="ListParagraph"/>
        <w:numPr>
          <w:ilvl w:val="0"/>
          <w:numId w:val="19"/>
        </w:numPr>
        <w:spacing w:after="0" w:line="240" w:lineRule="auto"/>
        <w:rPr>
          <w:rFonts w:ascii="Times New Roman" w:hAnsi="Times New Roman" w:cs="Times New Roman"/>
          <w:color w:val="000000" w:themeColor="text1"/>
          <w:sz w:val="24"/>
          <w:szCs w:val="24"/>
        </w:rPr>
      </w:pPr>
      <w:r w:rsidRPr="00616D35">
        <w:rPr>
          <w:rFonts w:ascii="Times New Roman" w:hAnsi="Times New Roman" w:cs="Times New Roman"/>
          <w:color w:val="000000" w:themeColor="text1"/>
          <w:sz w:val="24"/>
          <w:szCs w:val="24"/>
        </w:rPr>
        <w:t xml:space="preserve">EIX also </w:t>
      </w:r>
      <w:proofErr w:type="gramStart"/>
      <w:r w:rsidRPr="00616D35">
        <w:rPr>
          <w:rFonts w:ascii="Times New Roman" w:hAnsi="Times New Roman" w:cs="Times New Roman"/>
          <w:color w:val="000000" w:themeColor="text1"/>
          <w:sz w:val="24"/>
          <w:szCs w:val="24"/>
        </w:rPr>
        <w:t>claims</w:t>
      </w:r>
      <w:proofErr w:type="gramEnd"/>
      <w:r w:rsidRPr="00616D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16D35">
        <w:rPr>
          <w:rFonts w:ascii="Times New Roman" w:hAnsi="Times New Roman" w:cs="Times New Roman"/>
          <w:color w:val="000000" w:themeColor="text1"/>
          <w:sz w:val="24"/>
          <w:szCs w:val="24"/>
        </w:rPr>
        <w:t>the shareholder proposal would require that the Company prepare a separate lobbying report (duplicating information already disclosed) with detailed disclosure of the Company’s itemized payments for lobbying and memberships in tax-</w:t>
      </w:r>
      <w:r w:rsidRPr="00616D35">
        <w:rPr>
          <w:rFonts w:ascii="Times New Roman" w:hAnsi="Times New Roman" w:cs="Times New Roman"/>
          <w:color w:val="000000" w:themeColor="text1"/>
          <w:sz w:val="24"/>
          <w:szCs w:val="24"/>
        </w:rPr>
        <w:lastRenderedPageBreak/>
        <w:t>exempt organizations (each with no threshold), which would create an undue administrative burden on the Company without providing shareholders with meaningful information.</w:t>
      </w:r>
      <w:r>
        <w:rPr>
          <w:rFonts w:ascii="Times New Roman" w:hAnsi="Times New Roman" w:cs="Times New Roman"/>
          <w:color w:val="000000" w:themeColor="text1"/>
          <w:sz w:val="24"/>
          <w:szCs w:val="24"/>
        </w:rPr>
        <w:t xml:space="preserve">” This too is disingenuous. EIX could simply add </w:t>
      </w:r>
      <w:r w:rsidR="00B53669">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missing </w:t>
      </w:r>
      <w:r w:rsidR="00B53669">
        <w:rPr>
          <w:rFonts w:ascii="Times New Roman" w:hAnsi="Times New Roman" w:cs="Times New Roman"/>
          <w:color w:val="000000" w:themeColor="text1"/>
          <w:sz w:val="24"/>
          <w:szCs w:val="24"/>
        </w:rPr>
        <w:t>trade</w:t>
      </w:r>
      <w:r>
        <w:rPr>
          <w:rFonts w:ascii="Times New Roman" w:hAnsi="Times New Roman" w:cs="Times New Roman"/>
          <w:color w:val="000000" w:themeColor="text1"/>
          <w:sz w:val="24"/>
          <w:szCs w:val="24"/>
        </w:rPr>
        <w:t xml:space="preserve"> association and social </w:t>
      </w:r>
      <w:r w:rsidR="00B53669">
        <w:rPr>
          <w:rFonts w:ascii="Times New Roman" w:hAnsi="Times New Roman" w:cs="Times New Roman"/>
          <w:color w:val="000000" w:themeColor="text1"/>
          <w:sz w:val="24"/>
          <w:szCs w:val="24"/>
        </w:rPr>
        <w:t>welfare</w:t>
      </w:r>
      <w:r>
        <w:rPr>
          <w:rFonts w:ascii="Times New Roman" w:hAnsi="Times New Roman" w:cs="Times New Roman"/>
          <w:color w:val="000000" w:themeColor="text1"/>
          <w:sz w:val="24"/>
          <w:szCs w:val="24"/>
        </w:rPr>
        <w:t xml:space="preserve"> </w:t>
      </w:r>
      <w:r w:rsidR="00B53669">
        <w:rPr>
          <w:rFonts w:ascii="Times New Roman" w:hAnsi="Times New Roman" w:cs="Times New Roman"/>
          <w:color w:val="000000" w:themeColor="text1"/>
          <w:sz w:val="24"/>
          <w:szCs w:val="24"/>
        </w:rPr>
        <w:t>group</w:t>
      </w:r>
      <w:r>
        <w:rPr>
          <w:rFonts w:ascii="Times New Roman" w:hAnsi="Times New Roman" w:cs="Times New Roman"/>
          <w:color w:val="000000" w:themeColor="text1"/>
          <w:sz w:val="24"/>
          <w:szCs w:val="24"/>
        </w:rPr>
        <w:t xml:space="preserve"> </w:t>
      </w:r>
      <w:r w:rsidR="00B53669">
        <w:rPr>
          <w:rFonts w:ascii="Times New Roman" w:hAnsi="Times New Roman" w:cs="Times New Roman"/>
          <w:color w:val="000000" w:themeColor="text1"/>
          <w:sz w:val="24"/>
          <w:szCs w:val="24"/>
        </w:rPr>
        <w:t>payments to it</w:t>
      </w:r>
      <w:r w:rsidR="000F6BA0">
        <w:rPr>
          <w:rFonts w:ascii="Times New Roman" w:hAnsi="Times New Roman" w:cs="Times New Roman"/>
          <w:color w:val="000000" w:themeColor="text1"/>
          <w:sz w:val="24"/>
          <w:szCs w:val="24"/>
        </w:rPr>
        <w:t>s</w:t>
      </w:r>
      <w:r w:rsidR="00B53669">
        <w:rPr>
          <w:rFonts w:ascii="Times New Roman" w:hAnsi="Times New Roman" w:cs="Times New Roman"/>
          <w:color w:val="000000" w:themeColor="text1"/>
          <w:sz w:val="24"/>
          <w:szCs w:val="24"/>
        </w:rPr>
        <w:t xml:space="preserve"> current reporting.</w:t>
      </w:r>
    </w:p>
    <w:p w14:paraId="03453E55" w14:textId="77777777" w:rsidR="0089415A" w:rsidRPr="009A7579" w:rsidRDefault="0089415A" w:rsidP="0089415A">
      <w:pPr>
        <w:spacing w:after="0" w:line="240" w:lineRule="auto"/>
        <w:rPr>
          <w:rFonts w:ascii="Times New Roman" w:hAnsi="Times New Roman" w:cs="Times New Roman"/>
          <w:b/>
          <w:bCs/>
          <w:sz w:val="24"/>
          <w:szCs w:val="24"/>
        </w:rPr>
      </w:pPr>
    </w:p>
    <w:p w14:paraId="1274E799" w14:textId="77777777" w:rsidR="0089415A" w:rsidRPr="009A7579" w:rsidRDefault="0089415A" w:rsidP="0089415A">
      <w:pPr>
        <w:spacing w:after="0" w:line="240" w:lineRule="auto"/>
        <w:rPr>
          <w:rFonts w:ascii="Times New Roman" w:hAnsi="Times New Roman" w:cs="Times New Roman"/>
          <w:b/>
          <w:bCs/>
          <w:sz w:val="24"/>
          <w:szCs w:val="24"/>
        </w:rPr>
      </w:pPr>
      <w:r w:rsidRPr="009A7579">
        <w:rPr>
          <w:rFonts w:ascii="Times New Roman" w:hAnsi="Times New Roman" w:cs="Times New Roman"/>
          <w:b/>
          <w:bCs/>
          <w:sz w:val="24"/>
          <w:szCs w:val="24"/>
        </w:rPr>
        <w:t xml:space="preserve">Lobbying Transparency: What Gets Disclosed Gets Managed. </w:t>
      </w:r>
    </w:p>
    <w:p w14:paraId="29E58C36" w14:textId="47B5CAEC" w:rsidR="0089415A" w:rsidRPr="009A7579" w:rsidRDefault="0089415A" w:rsidP="0089415A">
      <w:pPr>
        <w:pStyle w:val="ListParagraph"/>
        <w:numPr>
          <w:ilvl w:val="0"/>
          <w:numId w:val="20"/>
        </w:numPr>
        <w:spacing w:after="0" w:line="240" w:lineRule="auto"/>
        <w:rPr>
          <w:rFonts w:ascii="Times New Roman" w:hAnsi="Times New Roman" w:cs="Times New Roman"/>
          <w:sz w:val="24"/>
          <w:szCs w:val="24"/>
        </w:rPr>
      </w:pPr>
      <w:r w:rsidRPr="009A7579">
        <w:rPr>
          <w:rFonts w:ascii="Times New Roman" w:hAnsi="Times New Roman" w:cs="Times New Roman"/>
          <w:sz w:val="24"/>
          <w:szCs w:val="24"/>
        </w:rPr>
        <w:t xml:space="preserve">If </w:t>
      </w:r>
      <w:r w:rsidR="00FC2A6C">
        <w:rPr>
          <w:rFonts w:ascii="Times New Roman" w:hAnsi="Times New Roman" w:cs="Times New Roman"/>
          <w:sz w:val="24"/>
          <w:szCs w:val="24"/>
        </w:rPr>
        <w:t>EIX</w:t>
      </w:r>
      <w:r w:rsidRPr="009A7579">
        <w:rPr>
          <w:rFonts w:ascii="Times New Roman" w:hAnsi="Times New Roman" w:cs="Times New Roman"/>
          <w:sz w:val="24"/>
          <w:szCs w:val="24"/>
        </w:rPr>
        <w:t xml:space="preserve"> has nothing to hide, transparent disclosure </w:t>
      </w:r>
      <w:proofErr w:type="gramStart"/>
      <w:r w:rsidRPr="009A7579">
        <w:rPr>
          <w:rFonts w:ascii="Times New Roman" w:hAnsi="Times New Roman" w:cs="Times New Roman"/>
          <w:sz w:val="24"/>
          <w:szCs w:val="24"/>
        </w:rPr>
        <w:t>would</w:t>
      </w:r>
      <w:proofErr w:type="gramEnd"/>
      <w:r w:rsidRPr="009A7579">
        <w:rPr>
          <w:rFonts w:ascii="Times New Roman" w:hAnsi="Times New Roman" w:cs="Times New Roman"/>
          <w:sz w:val="24"/>
          <w:szCs w:val="24"/>
        </w:rPr>
        <w:t xml:space="preserve"> simply show that its lobbying is being done for the company and </w:t>
      </w:r>
      <w:r w:rsidR="00DA6395">
        <w:rPr>
          <w:rFonts w:ascii="Times New Roman" w:eastAsia="Times New Roman" w:hAnsi="Times New Roman" w:cs="Times New Roman"/>
          <w:sz w:val="24"/>
          <w:szCs w:val="24"/>
        </w:rPr>
        <w:t>shareholder</w:t>
      </w:r>
      <w:r>
        <w:rPr>
          <w:rFonts w:ascii="Times New Roman" w:eastAsia="Times New Roman" w:hAnsi="Times New Roman" w:cs="Times New Roman"/>
          <w:sz w:val="24"/>
          <w:szCs w:val="24"/>
        </w:rPr>
        <w:t>s</w:t>
      </w:r>
      <w:r w:rsidRPr="009A7579">
        <w:rPr>
          <w:rFonts w:ascii="Times New Roman" w:hAnsi="Times New Roman" w:cs="Times New Roman"/>
          <w:sz w:val="24"/>
          <w:szCs w:val="24"/>
        </w:rPr>
        <w:t>’ best interests.</w:t>
      </w:r>
    </w:p>
    <w:p w14:paraId="6640C3DD" w14:textId="5E6945AB" w:rsidR="0089415A" w:rsidRPr="009A7579" w:rsidRDefault="0089415A" w:rsidP="0089415A">
      <w:pPr>
        <w:pStyle w:val="ListParagraph"/>
        <w:numPr>
          <w:ilvl w:val="0"/>
          <w:numId w:val="20"/>
        </w:numPr>
        <w:spacing w:after="0" w:line="240" w:lineRule="auto"/>
        <w:rPr>
          <w:rFonts w:ascii="Times New Roman" w:hAnsi="Times New Roman" w:cs="Times New Roman"/>
          <w:sz w:val="24"/>
          <w:szCs w:val="24"/>
        </w:rPr>
      </w:pPr>
      <w:r w:rsidRPr="009A7579">
        <w:rPr>
          <w:rFonts w:ascii="Times New Roman" w:hAnsi="Times New Roman" w:cs="Times New Roman"/>
          <w:sz w:val="24"/>
          <w:szCs w:val="24"/>
        </w:rPr>
        <w:t xml:space="preserve">Knowing our company’s lobbying will be disclosed will ensure board and management oversight to safeguard that lobbying is being done in </w:t>
      </w:r>
      <w:r w:rsidR="00DA6395">
        <w:rPr>
          <w:rFonts w:ascii="Times New Roman" w:eastAsia="Times New Roman" w:hAnsi="Times New Roman" w:cs="Times New Roman"/>
          <w:sz w:val="24"/>
          <w:szCs w:val="24"/>
        </w:rPr>
        <w:t>shareholder</w:t>
      </w:r>
      <w:r w:rsidRPr="009A7579">
        <w:rPr>
          <w:rFonts w:ascii="Times New Roman" w:hAnsi="Times New Roman" w:cs="Times New Roman"/>
          <w:sz w:val="24"/>
          <w:szCs w:val="24"/>
        </w:rPr>
        <w:t xml:space="preserve"> and </w:t>
      </w:r>
      <w:r w:rsidR="00FC2A6C">
        <w:rPr>
          <w:rFonts w:ascii="Times New Roman" w:hAnsi="Times New Roman" w:cs="Times New Roman"/>
          <w:sz w:val="24"/>
          <w:szCs w:val="24"/>
        </w:rPr>
        <w:t>EIX</w:t>
      </w:r>
      <w:r w:rsidRPr="009A7579">
        <w:rPr>
          <w:rFonts w:ascii="Times New Roman" w:hAnsi="Times New Roman" w:cs="Times New Roman"/>
          <w:sz w:val="24"/>
          <w:szCs w:val="24"/>
        </w:rPr>
        <w:t xml:space="preserve">’s best interests. </w:t>
      </w:r>
    </w:p>
    <w:p w14:paraId="5DA6E3BA" w14:textId="77777777" w:rsidR="0089415A" w:rsidRPr="009A7579" w:rsidRDefault="0089415A" w:rsidP="0089415A">
      <w:pPr>
        <w:spacing w:after="0" w:line="240" w:lineRule="auto"/>
        <w:rPr>
          <w:rFonts w:ascii="Times New Roman" w:hAnsi="Times New Roman" w:cs="Times New Roman"/>
          <w:sz w:val="24"/>
          <w:szCs w:val="24"/>
        </w:rPr>
      </w:pPr>
    </w:p>
    <w:p w14:paraId="667B4CBB" w14:textId="3BD57CC9" w:rsidR="0089415A" w:rsidRPr="009A7579" w:rsidRDefault="0089415A" w:rsidP="0089415A">
      <w:pPr>
        <w:tabs>
          <w:tab w:val="left" w:pos="720"/>
        </w:tabs>
        <w:spacing w:after="0" w:line="240" w:lineRule="auto"/>
        <w:rPr>
          <w:rFonts w:ascii="Times New Roman" w:hAnsi="Times New Roman" w:cs="Times New Roman"/>
          <w:sz w:val="24"/>
          <w:szCs w:val="24"/>
        </w:rPr>
      </w:pPr>
      <w:r w:rsidRPr="009A7579">
        <w:rPr>
          <w:rFonts w:ascii="Times New Roman" w:hAnsi="Times New Roman" w:cs="Times New Roman"/>
          <w:sz w:val="24"/>
          <w:szCs w:val="24"/>
        </w:rPr>
        <w:t xml:space="preserve">The well-documented reputational risks of </w:t>
      </w:r>
      <w:r w:rsidR="00FC2A6C">
        <w:rPr>
          <w:rFonts w:ascii="Times New Roman" w:hAnsi="Times New Roman" w:cs="Times New Roman"/>
          <w:sz w:val="24"/>
          <w:szCs w:val="24"/>
        </w:rPr>
        <w:t>EIX</w:t>
      </w:r>
      <w:r>
        <w:rPr>
          <w:rFonts w:ascii="Times New Roman" w:hAnsi="Times New Roman" w:cs="Times New Roman"/>
          <w:sz w:val="24"/>
          <w:szCs w:val="24"/>
        </w:rPr>
        <w:t>’</w:t>
      </w:r>
      <w:r w:rsidR="007F038C">
        <w:rPr>
          <w:rFonts w:ascii="Times New Roman" w:hAnsi="Times New Roman" w:cs="Times New Roman"/>
          <w:sz w:val="24"/>
          <w:szCs w:val="24"/>
        </w:rPr>
        <w:t>s</w:t>
      </w:r>
      <w:r w:rsidRPr="009A7579">
        <w:rPr>
          <w:rFonts w:ascii="Times New Roman" w:hAnsi="Times New Roman" w:cs="Times New Roman"/>
          <w:sz w:val="24"/>
          <w:szCs w:val="24"/>
        </w:rPr>
        <w:t xml:space="preserve"> lobbying and its inadequate lobbying disclosure policies highlight the critical need for the Company to improve its lobbying disclosures and increase transparency around its lobbying policies, </w:t>
      </w:r>
      <w:proofErr w:type="gramStart"/>
      <w:r w:rsidRPr="009A7579">
        <w:rPr>
          <w:rFonts w:ascii="Times New Roman" w:hAnsi="Times New Roman" w:cs="Times New Roman"/>
          <w:sz w:val="24"/>
          <w:szCs w:val="24"/>
        </w:rPr>
        <w:t>procedures</w:t>
      </w:r>
      <w:proofErr w:type="gramEnd"/>
      <w:r w:rsidRPr="009A7579">
        <w:rPr>
          <w:rFonts w:ascii="Times New Roman" w:hAnsi="Times New Roman" w:cs="Times New Roman"/>
          <w:sz w:val="24"/>
          <w:szCs w:val="24"/>
        </w:rPr>
        <w:t xml:space="preserve"> and spending details. </w:t>
      </w:r>
    </w:p>
    <w:p w14:paraId="233B8CEF" w14:textId="77777777" w:rsidR="0089415A" w:rsidRPr="009A7579" w:rsidRDefault="0089415A" w:rsidP="0089415A">
      <w:pPr>
        <w:spacing w:after="0" w:line="240" w:lineRule="auto"/>
        <w:rPr>
          <w:rFonts w:ascii="Times New Roman" w:hAnsi="Times New Roman" w:cs="Times New Roman"/>
          <w:sz w:val="24"/>
          <w:szCs w:val="24"/>
        </w:rPr>
      </w:pPr>
    </w:p>
    <w:p w14:paraId="3E9A6EFC" w14:textId="7B95F6CB" w:rsidR="0089415A" w:rsidRPr="009A7579" w:rsidRDefault="0089415A" w:rsidP="0089415A">
      <w:pPr>
        <w:pStyle w:val="BodyA"/>
        <w:ind w:firstLine="0"/>
        <w:rPr>
          <w:szCs w:val="24"/>
        </w:rPr>
      </w:pPr>
      <w:r w:rsidRPr="009A7579">
        <w:rPr>
          <w:szCs w:val="24"/>
        </w:rPr>
        <w:t xml:space="preserve">For </w:t>
      </w:r>
      <w:proofErr w:type="gramStart"/>
      <w:r w:rsidRPr="009A7579">
        <w:rPr>
          <w:szCs w:val="24"/>
        </w:rPr>
        <w:t>all of</w:t>
      </w:r>
      <w:proofErr w:type="gramEnd"/>
      <w:r w:rsidRPr="009A7579">
        <w:rPr>
          <w:szCs w:val="24"/>
        </w:rPr>
        <w:t xml:space="preserve"> the above reasons, I believe that </w:t>
      </w:r>
      <w:r w:rsidR="00FC2A6C">
        <w:rPr>
          <w:szCs w:val="24"/>
        </w:rPr>
        <w:t>EIX</w:t>
      </w:r>
      <w:r w:rsidRPr="009A7579">
        <w:rPr>
          <w:szCs w:val="24"/>
        </w:rPr>
        <w:t>’</w:t>
      </w:r>
      <w:r w:rsidR="007F038C">
        <w:rPr>
          <w:szCs w:val="24"/>
        </w:rPr>
        <w:t>s</w:t>
      </w:r>
      <w:r w:rsidRPr="009A7579">
        <w:rPr>
          <w:szCs w:val="24"/>
        </w:rPr>
        <w:t xml:space="preserve"> current lobbying disclosures are inadequate to protect </w:t>
      </w:r>
      <w:r w:rsidR="00DA6395">
        <w:rPr>
          <w:rFonts w:eastAsia="Times New Roman"/>
          <w:szCs w:val="24"/>
        </w:rPr>
        <w:t>shareholder</w:t>
      </w:r>
      <w:r w:rsidRPr="009A7579">
        <w:rPr>
          <w:szCs w:val="24"/>
        </w:rPr>
        <w:t xml:space="preserve"> interests. I urge you to vote FOR </w:t>
      </w:r>
      <w:r w:rsidR="00700FD5">
        <w:rPr>
          <w:szCs w:val="24"/>
        </w:rPr>
        <w:t>Item</w:t>
      </w:r>
      <w:r w:rsidRPr="009A7579">
        <w:rPr>
          <w:szCs w:val="24"/>
        </w:rPr>
        <w:t xml:space="preserve"> </w:t>
      </w:r>
      <w:r w:rsidR="007A0B64">
        <w:rPr>
          <w:szCs w:val="24"/>
        </w:rPr>
        <w:t>4</w:t>
      </w:r>
      <w:r w:rsidRPr="009A7579">
        <w:rPr>
          <w:szCs w:val="24"/>
        </w:rPr>
        <w:t xml:space="preserve">, </w:t>
      </w:r>
      <w:r w:rsidRPr="009A7579">
        <w:rPr>
          <w:rFonts w:eastAsia="Times New Roman"/>
          <w:szCs w:val="24"/>
        </w:rPr>
        <w:t>the share</w:t>
      </w:r>
      <w:r w:rsidR="00782D7F">
        <w:rPr>
          <w:rFonts w:eastAsia="Times New Roman"/>
          <w:szCs w:val="24"/>
        </w:rPr>
        <w:t xml:space="preserve">holder </w:t>
      </w:r>
      <w:r w:rsidRPr="009A7579">
        <w:rPr>
          <w:rFonts w:eastAsia="Times New Roman"/>
          <w:szCs w:val="24"/>
        </w:rPr>
        <w:t xml:space="preserve">proposal requesting an annual report on </w:t>
      </w:r>
      <w:r w:rsidR="00FC2A6C">
        <w:rPr>
          <w:szCs w:val="24"/>
        </w:rPr>
        <w:t>EIX</w:t>
      </w:r>
      <w:r w:rsidRPr="009A7579">
        <w:rPr>
          <w:szCs w:val="24"/>
        </w:rPr>
        <w:t>’</w:t>
      </w:r>
      <w:r w:rsidR="006E6616">
        <w:rPr>
          <w:szCs w:val="24"/>
        </w:rPr>
        <w:t>s</w:t>
      </w:r>
      <w:r w:rsidRPr="009A7579">
        <w:rPr>
          <w:rFonts w:eastAsia="Times New Roman"/>
          <w:szCs w:val="24"/>
        </w:rPr>
        <w:t xml:space="preserve"> lobbying expenditures.</w:t>
      </w:r>
    </w:p>
    <w:p w14:paraId="45A0A24C" w14:textId="77777777" w:rsidR="0089415A" w:rsidRPr="009A7579" w:rsidRDefault="0089415A" w:rsidP="0089415A">
      <w:pPr>
        <w:pStyle w:val="BodyA"/>
        <w:ind w:firstLine="0"/>
        <w:rPr>
          <w:szCs w:val="24"/>
          <w:u w:val="single"/>
        </w:rPr>
      </w:pPr>
    </w:p>
    <w:p w14:paraId="3E7F14E7" w14:textId="77777777" w:rsidR="0089415A" w:rsidRPr="009A7579" w:rsidRDefault="0089415A" w:rsidP="0089415A">
      <w:pPr>
        <w:spacing w:after="0" w:line="240" w:lineRule="auto"/>
        <w:rPr>
          <w:rFonts w:ascii="Times New Roman" w:eastAsia="Times New Roman" w:hAnsi="Times New Roman" w:cs="Times New Roman"/>
          <w:sz w:val="24"/>
          <w:szCs w:val="24"/>
        </w:rPr>
      </w:pPr>
      <w:r w:rsidRPr="009A7579">
        <w:rPr>
          <w:rFonts w:ascii="Times New Roman" w:eastAsia="Times New Roman" w:hAnsi="Times New Roman" w:cs="Times New Roman"/>
          <w:sz w:val="24"/>
          <w:szCs w:val="24"/>
        </w:rPr>
        <w:t>Sincerely,</w:t>
      </w:r>
    </w:p>
    <w:p w14:paraId="2C51ACD9" w14:textId="77777777" w:rsidR="0089415A" w:rsidRPr="009A7579" w:rsidRDefault="0089415A" w:rsidP="0089415A">
      <w:pPr>
        <w:spacing w:after="0" w:line="240" w:lineRule="auto"/>
        <w:rPr>
          <w:rFonts w:ascii="Times New Roman" w:eastAsia="Times New Roman" w:hAnsi="Times New Roman" w:cs="Times New Roman"/>
          <w:sz w:val="24"/>
          <w:szCs w:val="24"/>
        </w:rPr>
      </w:pPr>
    </w:p>
    <w:p w14:paraId="5460CCE2" w14:textId="77777777" w:rsidR="0089415A" w:rsidRPr="009A7579" w:rsidRDefault="0089415A" w:rsidP="0089415A">
      <w:pPr>
        <w:spacing w:after="0" w:line="240" w:lineRule="auto"/>
        <w:rPr>
          <w:rFonts w:ascii="Times New Roman" w:eastAsia="Times New Roman" w:hAnsi="Times New Roman" w:cs="Times New Roman"/>
          <w:sz w:val="24"/>
          <w:szCs w:val="24"/>
        </w:rPr>
      </w:pPr>
    </w:p>
    <w:p w14:paraId="20A0E1F4" w14:textId="77777777" w:rsidR="0089415A" w:rsidRPr="009A7579" w:rsidRDefault="0089415A" w:rsidP="0089415A">
      <w:pPr>
        <w:spacing w:after="0" w:line="240" w:lineRule="auto"/>
        <w:rPr>
          <w:rFonts w:ascii="Times New Roman" w:hAnsi="Times New Roman" w:cs="Times New Roman"/>
          <w:b/>
          <w:bCs/>
          <w:sz w:val="24"/>
          <w:szCs w:val="24"/>
        </w:rPr>
      </w:pPr>
      <w:r w:rsidRPr="009A7579">
        <w:rPr>
          <w:rFonts w:ascii="Times New Roman" w:hAnsi="Times New Roman" w:cs="Times New Roman"/>
          <w:sz w:val="24"/>
          <w:szCs w:val="24"/>
        </w:rPr>
        <w:t>John Chevedden</w:t>
      </w:r>
    </w:p>
    <w:p w14:paraId="57091E0A" w14:textId="77777777" w:rsidR="0089415A" w:rsidRPr="009A7579" w:rsidRDefault="0089415A" w:rsidP="0089415A">
      <w:pPr>
        <w:spacing w:after="0" w:line="240" w:lineRule="auto"/>
        <w:rPr>
          <w:rFonts w:ascii="Times New Roman" w:eastAsia="Times New Roman" w:hAnsi="Times New Roman" w:cs="Times New Roman"/>
          <w:b/>
          <w:bCs/>
          <w:sz w:val="24"/>
          <w:szCs w:val="24"/>
        </w:rPr>
      </w:pPr>
    </w:p>
    <w:p w14:paraId="13D23BA7" w14:textId="77777777" w:rsidR="0089415A" w:rsidRPr="009A7579" w:rsidRDefault="0089415A" w:rsidP="0089415A">
      <w:pPr>
        <w:spacing w:after="0" w:line="240" w:lineRule="auto"/>
        <w:rPr>
          <w:rFonts w:ascii="Times New Roman" w:eastAsia="Times New Roman" w:hAnsi="Times New Roman" w:cs="Times New Roman"/>
          <w:b/>
          <w:bCs/>
          <w:sz w:val="24"/>
          <w:szCs w:val="24"/>
        </w:rPr>
      </w:pPr>
    </w:p>
    <w:p w14:paraId="4F1C8B4C" w14:textId="1E05839C" w:rsidR="00FB0A76" w:rsidRPr="00782D7F" w:rsidRDefault="0089415A" w:rsidP="00782D7F">
      <w:pPr>
        <w:spacing w:line="240" w:lineRule="auto"/>
        <w:rPr>
          <w:rFonts w:ascii="Times New Roman" w:eastAsia="Times New Roman" w:hAnsi="Times New Roman" w:cs="Times New Roman"/>
          <w:sz w:val="24"/>
          <w:szCs w:val="24"/>
        </w:rPr>
      </w:pPr>
      <w:r w:rsidRPr="009A7579">
        <w:rPr>
          <w:rFonts w:ascii="Times New Roman" w:eastAsia="Times New Roman" w:hAnsi="Times New Roman" w:cs="Times New Roman"/>
          <w:sz w:val="24"/>
          <w:szCs w:val="24"/>
        </w:rPr>
        <w:t xml:space="preserve">Written materials are submitted pursuant to Rule 14a-6(g)(1) promulgated under the Securities Exchange Act of </w:t>
      </w:r>
      <w:proofErr w:type="gramStart"/>
      <w:r w:rsidRPr="009A7579">
        <w:rPr>
          <w:rFonts w:ascii="Times New Roman" w:eastAsia="Times New Roman" w:hAnsi="Times New Roman" w:cs="Times New Roman"/>
          <w:sz w:val="24"/>
          <w:szCs w:val="24"/>
        </w:rPr>
        <w:t>1934.*</w:t>
      </w:r>
      <w:proofErr w:type="gramEnd"/>
      <w:r w:rsidRPr="009A7579">
        <w:rPr>
          <w:rFonts w:ascii="Times New Roman" w:eastAsia="Times New Roman" w:hAnsi="Times New Roman" w:cs="Times New Roman"/>
          <w:sz w:val="24"/>
          <w:szCs w:val="24"/>
        </w:rPr>
        <w:t xml:space="preserve"> </w:t>
      </w:r>
      <w:r w:rsidRPr="009A7579">
        <w:rPr>
          <w:rFonts w:ascii="Times New Roman" w:eastAsia="Times New Roman" w:hAnsi="Times New Roman" w:cs="Times New Roman"/>
          <w:sz w:val="24"/>
          <w:szCs w:val="24"/>
        </w:rPr>
        <w:br/>
      </w:r>
      <w:r w:rsidRPr="009A7579">
        <w:rPr>
          <w:rFonts w:ascii="Times New Roman" w:eastAsia="Times New Roman" w:hAnsi="Times New Roman" w:cs="Times New Roman"/>
          <w:sz w:val="24"/>
          <w:szCs w:val="24"/>
        </w:rPr>
        <w:br/>
        <w:t>*Submission is not required of this filer under the terms of the Rule, but is made voluntarily in the interest of public disclosure and consideration of these important issues.</w:t>
      </w:r>
      <w:r w:rsidRPr="009A7579">
        <w:rPr>
          <w:rFonts w:ascii="Times New Roman" w:eastAsia="Times New Roman" w:hAnsi="Times New Roman" w:cs="Times New Roman"/>
          <w:sz w:val="24"/>
          <w:szCs w:val="24"/>
        </w:rPr>
        <w:br/>
      </w:r>
      <w:r w:rsidRPr="009A7579">
        <w:rPr>
          <w:rFonts w:ascii="Times New Roman" w:eastAsia="Times New Roman" w:hAnsi="Times New Roman" w:cs="Times New Roman"/>
          <w:sz w:val="24"/>
          <w:szCs w:val="24"/>
        </w:rPr>
        <w:br/>
        <w:t xml:space="preserve">This is not a solicitation of authority to vote your proxy.  Please DO NOT send me your proxy card; the </w:t>
      </w:r>
      <w:r w:rsidR="00DA6395">
        <w:rPr>
          <w:rFonts w:ascii="Times New Roman" w:eastAsia="Times New Roman" w:hAnsi="Times New Roman" w:cs="Times New Roman"/>
          <w:sz w:val="24"/>
          <w:szCs w:val="24"/>
        </w:rPr>
        <w:t>shareholder</w:t>
      </w:r>
      <w:r w:rsidRPr="009A7579">
        <w:rPr>
          <w:rFonts w:ascii="Times New Roman" w:eastAsia="Times New Roman" w:hAnsi="Times New Roman" w:cs="Times New Roman"/>
          <w:sz w:val="24"/>
          <w:szCs w:val="24"/>
        </w:rPr>
        <w:t xml:space="preserve"> is not able to vote your proxies, nor does this communication contemplate such an event.  </w:t>
      </w:r>
      <w:r w:rsidRPr="009A7579">
        <w:rPr>
          <w:rFonts w:ascii="Times New Roman" w:eastAsia="Times New Roman" w:hAnsi="Times New Roman" w:cs="Times New Roman"/>
          <w:sz w:val="24"/>
          <w:szCs w:val="24"/>
        </w:rPr>
        <w:br/>
      </w:r>
      <w:r w:rsidRPr="009A7579">
        <w:rPr>
          <w:rFonts w:ascii="Times New Roman" w:eastAsia="Times New Roman" w:hAnsi="Times New Roman" w:cs="Times New Roman"/>
          <w:sz w:val="24"/>
          <w:szCs w:val="24"/>
        </w:rPr>
        <w:br/>
        <w:t xml:space="preserve">The </w:t>
      </w:r>
      <w:r w:rsidR="00DA6395">
        <w:rPr>
          <w:rFonts w:ascii="Times New Roman" w:eastAsia="Times New Roman" w:hAnsi="Times New Roman" w:cs="Times New Roman"/>
          <w:sz w:val="24"/>
          <w:szCs w:val="24"/>
        </w:rPr>
        <w:t>shareholder</w:t>
      </w:r>
      <w:r w:rsidRPr="009A7579">
        <w:rPr>
          <w:rFonts w:ascii="Times New Roman" w:eastAsia="Times New Roman" w:hAnsi="Times New Roman" w:cs="Times New Roman"/>
          <w:sz w:val="24"/>
          <w:szCs w:val="24"/>
        </w:rPr>
        <w:t xml:space="preserve"> asks all </w:t>
      </w:r>
      <w:r w:rsidR="00DA6395">
        <w:rPr>
          <w:rFonts w:ascii="Times New Roman" w:eastAsia="Times New Roman" w:hAnsi="Times New Roman" w:cs="Times New Roman"/>
          <w:sz w:val="24"/>
          <w:szCs w:val="24"/>
        </w:rPr>
        <w:t>shareholder</w:t>
      </w:r>
      <w:r>
        <w:rPr>
          <w:rFonts w:ascii="Times New Roman" w:eastAsia="Times New Roman" w:hAnsi="Times New Roman" w:cs="Times New Roman"/>
          <w:sz w:val="24"/>
          <w:szCs w:val="24"/>
        </w:rPr>
        <w:t>s</w:t>
      </w:r>
      <w:r w:rsidRPr="009A7579">
        <w:rPr>
          <w:rFonts w:ascii="Times New Roman" w:eastAsia="Times New Roman" w:hAnsi="Times New Roman" w:cs="Times New Roman"/>
          <w:sz w:val="24"/>
          <w:szCs w:val="24"/>
        </w:rPr>
        <w:t xml:space="preserve"> to vote by following the procedural instructions provided in the proxy materials.  </w:t>
      </w:r>
    </w:p>
    <w:sectPr w:rsidR="00FB0A76" w:rsidRPr="00782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3BB5" w14:textId="77777777" w:rsidR="006477E2" w:rsidRDefault="006477E2" w:rsidP="006B3EDD">
      <w:pPr>
        <w:spacing w:after="0" w:line="240" w:lineRule="auto"/>
      </w:pPr>
      <w:r>
        <w:separator/>
      </w:r>
    </w:p>
  </w:endnote>
  <w:endnote w:type="continuationSeparator" w:id="0">
    <w:p w14:paraId="69C9FD57" w14:textId="77777777" w:rsidR="006477E2" w:rsidRDefault="006477E2" w:rsidP="006B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4555" w14:textId="77777777" w:rsidR="006477E2" w:rsidRDefault="006477E2" w:rsidP="006B3EDD">
      <w:pPr>
        <w:spacing w:after="0" w:line="240" w:lineRule="auto"/>
      </w:pPr>
      <w:r>
        <w:separator/>
      </w:r>
    </w:p>
  </w:footnote>
  <w:footnote w:type="continuationSeparator" w:id="0">
    <w:p w14:paraId="2C3313A8" w14:textId="77777777" w:rsidR="006477E2" w:rsidRDefault="006477E2" w:rsidP="006B3EDD">
      <w:pPr>
        <w:spacing w:after="0" w:line="240" w:lineRule="auto"/>
      </w:pPr>
      <w:r>
        <w:continuationSeparator/>
      </w:r>
    </w:p>
  </w:footnote>
  <w:footnote w:id="1">
    <w:p w14:paraId="687530EC" w14:textId="77777777" w:rsidR="008A28F7" w:rsidRDefault="008A28F7" w:rsidP="008A28F7">
      <w:pPr>
        <w:pStyle w:val="FootnoteText"/>
      </w:pPr>
      <w:r>
        <w:rPr>
          <w:rStyle w:val="FootnoteReference"/>
        </w:rPr>
        <w:footnoteRef/>
      </w:r>
      <w:r>
        <w:t xml:space="preserve"> “</w:t>
      </w:r>
      <w:r w:rsidRPr="00072852">
        <w:t xml:space="preserve">Corporate Lobbying Disclosure is Material Investor </w:t>
      </w:r>
      <w:r>
        <w:t>I</w:t>
      </w:r>
      <w:r w:rsidRPr="00072852">
        <w:t>nformation,</w:t>
      </w:r>
      <w:r>
        <w:t>”</w:t>
      </w:r>
      <w:r w:rsidRPr="00072852">
        <w:t xml:space="preserve"> </w:t>
      </w:r>
      <w:r w:rsidRPr="00B316B8">
        <w:rPr>
          <w:u w:val="single"/>
        </w:rPr>
        <w:t>As You Sow</w:t>
      </w:r>
      <w:r w:rsidRPr="00072852">
        <w:t>, March 23, 2024, at:</w:t>
      </w:r>
      <w:r w:rsidRPr="00B316B8">
        <w:t xml:space="preserve"> https://www.proxypreview.org/contributor-articles-2024/corporate-lobbying-disclosure-is-material-investor-information</w:t>
      </w:r>
      <w:r>
        <w:t xml:space="preserve">. </w:t>
      </w:r>
    </w:p>
  </w:footnote>
  <w:footnote w:id="2">
    <w:p w14:paraId="2B8D4171" w14:textId="10EFB8AB" w:rsidR="000E6207" w:rsidRPr="008B426D" w:rsidRDefault="000E6207" w:rsidP="000E6207">
      <w:pPr>
        <w:pStyle w:val="FootnoteText"/>
      </w:pPr>
      <w:r w:rsidRPr="008B426D">
        <w:rPr>
          <w:rStyle w:val="FootnoteReference"/>
        </w:rPr>
        <w:footnoteRef/>
      </w:r>
      <w:r w:rsidRPr="008B426D">
        <w:t xml:space="preserve"> “Link Between Corporate Reputation &amp; Market Value Strengthens: Study,” </w:t>
      </w:r>
      <w:r w:rsidRPr="008B426D">
        <w:rPr>
          <w:u w:val="single"/>
        </w:rPr>
        <w:t>Provoke Media</w:t>
      </w:r>
      <w:r w:rsidRPr="008B426D">
        <w:t>, March 8, 2018, at: https://www.provokemedia.com/research/article/link-between-corporate-reputation-market-value-strengthens-study</w:t>
      </w:r>
      <w:r w:rsidRPr="008B426D">
        <w:rPr>
          <w:rStyle w:val="Hyperlink"/>
          <w:color w:val="0563C1"/>
        </w:rPr>
        <w:t>.</w:t>
      </w:r>
    </w:p>
  </w:footnote>
  <w:footnote w:id="3">
    <w:p w14:paraId="65146523" w14:textId="5A1C0667" w:rsidR="000E6207" w:rsidRPr="008B426D" w:rsidRDefault="000E6207" w:rsidP="000E6207">
      <w:pPr>
        <w:pStyle w:val="FootnoteText"/>
      </w:pPr>
      <w:r w:rsidRPr="008B426D">
        <w:rPr>
          <w:rStyle w:val="FootnoteReference"/>
        </w:rPr>
        <w:footnoteRef/>
      </w:r>
      <w:r w:rsidRPr="008B426D">
        <w:t xml:space="preserve"> “Unlocking the Value of Reputation,” </w:t>
      </w:r>
      <w:r w:rsidRPr="008B426D">
        <w:rPr>
          <w:u w:val="single"/>
        </w:rPr>
        <w:t>Ipsos</w:t>
      </w:r>
      <w:r w:rsidRPr="008B426D">
        <w:t xml:space="preserve">, May 2018, at: </w:t>
      </w:r>
      <w:proofErr w:type="gramStart"/>
      <w:r w:rsidRPr="008B426D">
        <w:t>https://www.ipsos.com/sites/default/files/ct/publication/documents/2018-05/unlocking_value_of_reputation-may_2018.pdf</w:t>
      </w:r>
      <w:proofErr w:type="gramEnd"/>
    </w:p>
  </w:footnote>
  <w:footnote w:id="4">
    <w:p w14:paraId="5A78EECB" w14:textId="0EB148C4" w:rsidR="000E6207" w:rsidRPr="008B426D" w:rsidRDefault="000E6207" w:rsidP="000E6207">
      <w:pPr>
        <w:pStyle w:val="FootnoteText"/>
      </w:pPr>
      <w:r w:rsidRPr="008B426D">
        <w:rPr>
          <w:rStyle w:val="FootnoteReference"/>
        </w:rPr>
        <w:footnoteRef/>
      </w:r>
      <w:r w:rsidRPr="008B426D">
        <w:t xml:space="preserve"> “2014 Global Survey on Reputation Risk,” </w:t>
      </w:r>
      <w:r w:rsidRPr="008B426D">
        <w:rPr>
          <w:u w:val="single"/>
        </w:rPr>
        <w:t>Deloitte</w:t>
      </w:r>
      <w:r w:rsidRPr="008B426D">
        <w:t xml:space="preserve">, p. 4, at: https://www2.deloitte.com/content/dam/Deloitte/global/Documents/Governance-Risk-Compliance/gx_grc_Reputation@Risk%20survey%20report_FINAL.pdf </w:t>
      </w:r>
    </w:p>
  </w:footnote>
  <w:footnote w:id="5">
    <w:p w14:paraId="32DA6B68" w14:textId="77777777" w:rsidR="007C6476" w:rsidRPr="00974AD7" w:rsidRDefault="007C6476" w:rsidP="007C6476">
      <w:pPr>
        <w:pStyle w:val="FootnoteText"/>
      </w:pPr>
      <w:r w:rsidRPr="00974AD7">
        <w:rPr>
          <w:rStyle w:val="FootnoteReference"/>
        </w:rPr>
        <w:footnoteRef/>
      </w:r>
      <w:r w:rsidRPr="00974AD7">
        <w:t xml:space="preserve"> “Business Group Spending on Lobbying in Washington at Least Double What’s Publicly Reported,” </w:t>
      </w:r>
      <w:r w:rsidRPr="00974AD7">
        <w:rPr>
          <w:u w:val="single"/>
        </w:rPr>
        <w:t>The Intercep</w:t>
      </w:r>
      <w:r w:rsidRPr="00974AD7">
        <w:t>t, Aug. 6, 2019, at: https://theintercept.com/2019/08/06/business-group-spending-on-lobbying-in-washington-is-at-least-double-whats-publicly-reported/.</w:t>
      </w:r>
    </w:p>
  </w:footnote>
  <w:footnote w:id="6">
    <w:p w14:paraId="50A66D34" w14:textId="4B48EABF" w:rsidR="007E50EF" w:rsidRDefault="007E50EF">
      <w:pPr>
        <w:pStyle w:val="FootnoteText"/>
      </w:pPr>
      <w:r>
        <w:rPr>
          <w:rStyle w:val="FootnoteReference"/>
        </w:rPr>
        <w:footnoteRef/>
      </w:r>
      <w:r>
        <w:t xml:space="preserve"> </w:t>
      </w:r>
      <w:r w:rsidR="00290C25">
        <w:t>“</w:t>
      </w:r>
      <w:r w:rsidRPr="007E50EF">
        <w:t>Ohio Republicans accused of taking $60m in bribes as corruption trial opens</w:t>
      </w:r>
      <w:r w:rsidR="00290C25">
        <w:t>”</w:t>
      </w:r>
      <w:r w:rsidRPr="007E50EF">
        <w:t xml:space="preserve">, </w:t>
      </w:r>
      <w:r w:rsidRPr="00290C25">
        <w:rPr>
          <w:u w:val="single"/>
        </w:rPr>
        <w:t>The Guardian</w:t>
      </w:r>
      <w:r w:rsidRPr="007E50EF">
        <w:t>, Jan. 24, 2023, at:</w:t>
      </w:r>
      <w:r w:rsidR="00290C25">
        <w:t xml:space="preserve"> </w:t>
      </w:r>
      <w:r w:rsidR="00D1711D" w:rsidRPr="00D1711D">
        <w:t>https://www.theguardian.com/us-news/2023/jan/23/ohio-republican-larry-householder-corruption-trial</w:t>
      </w:r>
      <w:r w:rsidR="00D1711D">
        <w:t xml:space="preserve">. </w:t>
      </w:r>
    </w:p>
  </w:footnote>
  <w:footnote w:id="7">
    <w:p w14:paraId="46191637" w14:textId="799DA616" w:rsidR="00E62B1C" w:rsidRDefault="00E62B1C">
      <w:pPr>
        <w:pStyle w:val="FootnoteText"/>
      </w:pPr>
      <w:r>
        <w:rPr>
          <w:rStyle w:val="FootnoteReference"/>
        </w:rPr>
        <w:footnoteRef/>
      </w:r>
      <w:r>
        <w:t xml:space="preserve"> “</w:t>
      </w:r>
      <w:r w:rsidRPr="00E62B1C">
        <w:t>Former Ohio utility regulator, charged in sweeping bribery scheme, has died by suicide,</w:t>
      </w:r>
      <w:r>
        <w:t>”</w:t>
      </w:r>
      <w:r w:rsidRPr="00E62B1C">
        <w:t xml:space="preserve"> </w:t>
      </w:r>
      <w:r w:rsidRPr="00E62B1C">
        <w:rPr>
          <w:u w:val="single"/>
        </w:rPr>
        <w:t>AP</w:t>
      </w:r>
      <w:r w:rsidRPr="00E62B1C">
        <w:t>, April 10, 2024, at:</w:t>
      </w:r>
      <w:r>
        <w:t xml:space="preserve"> </w:t>
      </w:r>
      <w:r w:rsidR="00A32061" w:rsidRPr="00A32061">
        <w:t>https://www.nbc24.com/news/local/former-ohio-utility-regulator-charged-in-sweeping-bribery-scheme-has-died-by-suicide-cincinnati-sam-randazzo-warehouse-prison-sentencing-bribe-firstenergy-nuclear-bailoutg-householder</w:t>
      </w:r>
      <w:r w:rsidR="00A32061">
        <w:t xml:space="preserve">. </w:t>
      </w:r>
    </w:p>
  </w:footnote>
  <w:footnote w:id="8">
    <w:p w14:paraId="33A50C5E" w14:textId="77777777" w:rsidR="004A2CF4" w:rsidRDefault="004A2CF4" w:rsidP="004A2CF4">
      <w:pPr>
        <w:pStyle w:val="FootnoteText"/>
      </w:pPr>
      <w:r>
        <w:rPr>
          <w:rStyle w:val="FootnoteReference"/>
        </w:rPr>
        <w:footnoteRef/>
      </w:r>
      <w:r>
        <w:t xml:space="preserve"> “</w:t>
      </w:r>
      <w:r w:rsidRPr="00CF2202">
        <w:t>Ohio bribery scandal increases scrutiny of how utilities use 'dark money' groups,</w:t>
      </w:r>
      <w:r>
        <w:t>”</w:t>
      </w:r>
      <w:r w:rsidRPr="00CF2202">
        <w:t xml:space="preserve"> </w:t>
      </w:r>
      <w:r w:rsidRPr="00CF2202">
        <w:rPr>
          <w:u w:val="single"/>
        </w:rPr>
        <w:t>S&amp;P Global</w:t>
      </w:r>
      <w:r w:rsidRPr="00CF2202">
        <w:t>, Aug. 31, 2020, at:</w:t>
      </w:r>
      <w:r>
        <w:t xml:space="preserve"> </w:t>
      </w:r>
      <w:r w:rsidRPr="00AD6842">
        <w:t>https://www.spglobal.com/marketintelligence/en/news-insights/latest-news-headlines/ohio-bribery-scandal-increases-scrutiny-of-how-utilities-use-dark-money-groups-59894461</w:t>
      </w:r>
      <w:r>
        <w:t xml:space="preserve">. </w:t>
      </w:r>
    </w:p>
  </w:footnote>
  <w:footnote w:id="9">
    <w:p w14:paraId="564C01E5" w14:textId="45E3BD55" w:rsidR="00A514E5" w:rsidRDefault="00A514E5">
      <w:pPr>
        <w:pStyle w:val="FootnoteText"/>
      </w:pPr>
      <w:r>
        <w:rPr>
          <w:rStyle w:val="FootnoteReference"/>
        </w:rPr>
        <w:footnoteRef/>
      </w:r>
      <w:r>
        <w:t xml:space="preserve"> “</w:t>
      </w:r>
      <w:r w:rsidRPr="00A514E5">
        <w:t>Group aiming to sabotage Whitmer’s Covid policies funded by dark money,</w:t>
      </w:r>
      <w:r>
        <w:t>”</w:t>
      </w:r>
      <w:r w:rsidRPr="00A514E5">
        <w:t xml:space="preserve"> </w:t>
      </w:r>
      <w:r w:rsidRPr="00A514E5">
        <w:rPr>
          <w:u w:val="single"/>
        </w:rPr>
        <w:t>The Guardian</w:t>
      </w:r>
      <w:r w:rsidRPr="00A514E5">
        <w:t>, Jan. 10, 2023, at:</w:t>
      </w:r>
      <w:r>
        <w:t xml:space="preserve"> </w:t>
      </w:r>
      <w:r w:rsidR="00354D29" w:rsidRPr="00354D29">
        <w:t>https://www.theguardian.com/us-news/2023/jan/10/gretchen-whitmer-michigan-covid-policies-dark-money</w:t>
      </w:r>
      <w:r w:rsidR="00354D29">
        <w:t xml:space="preserve">. </w:t>
      </w:r>
    </w:p>
  </w:footnote>
  <w:footnote w:id="10">
    <w:p w14:paraId="5DB10F63" w14:textId="1B05DDC1" w:rsidR="00877502" w:rsidRDefault="00877502">
      <w:pPr>
        <w:pStyle w:val="FootnoteText"/>
      </w:pPr>
      <w:r>
        <w:rPr>
          <w:rStyle w:val="FootnoteReference"/>
        </w:rPr>
        <w:footnoteRef/>
      </w:r>
      <w:r>
        <w:t xml:space="preserve"> “</w:t>
      </w:r>
      <w:r w:rsidRPr="00877502">
        <w:t>Florida Power &amp; Light tied to dark money used to help Sen. Keith Perry win 2018 race,</w:t>
      </w:r>
      <w:r>
        <w:t>”</w:t>
      </w:r>
      <w:r w:rsidRPr="00877502">
        <w:t xml:space="preserve"> </w:t>
      </w:r>
      <w:r w:rsidRPr="00877502">
        <w:rPr>
          <w:u w:val="single"/>
        </w:rPr>
        <w:t>The Gainesville Sun</w:t>
      </w:r>
      <w:r w:rsidRPr="00877502">
        <w:t>, Aug. 14, 2022, at:</w:t>
      </w:r>
      <w:r w:rsidR="002F1FCF">
        <w:t xml:space="preserve"> </w:t>
      </w:r>
      <w:r w:rsidR="002F1FCF" w:rsidRPr="002F1FCF">
        <w:t>https://www.gainesville.com/story/news/2022/08/14/florida-power-light-dark-money-2018-state-senate-race/10277503002/</w:t>
      </w:r>
      <w:r w:rsidR="002F1FCF">
        <w:t xml:space="preserve">. </w:t>
      </w:r>
    </w:p>
  </w:footnote>
  <w:footnote w:id="11">
    <w:p w14:paraId="7357696C" w14:textId="4A959806" w:rsidR="007C21F0" w:rsidRDefault="007C21F0">
      <w:pPr>
        <w:pStyle w:val="FootnoteText"/>
      </w:pPr>
      <w:r>
        <w:rPr>
          <w:rStyle w:val="FootnoteReference"/>
        </w:rPr>
        <w:footnoteRef/>
      </w:r>
      <w:r>
        <w:t xml:space="preserve"> “</w:t>
      </w:r>
      <w:r w:rsidRPr="007C21F0">
        <w:t>APS docs reveal it funded 2014 ‘dark money’ effort supporting commissioner’s son,</w:t>
      </w:r>
      <w:r>
        <w:t>”</w:t>
      </w:r>
      <w:r w:rsidRPr="007C21F0">
        <w:t xml:space="preserve"> </w:t>
      </w:r>
      <w:r w:rsidRPr="007C21F0">
        <w:rPr>
          <w:u w:val="single"/>
        </w:rPr>
        <w:t>AZ Mirror</w:t>
      </w:r>
      <w:r w:rsidRPr="007C21F0">
        <w:t>, April 1, 2019, at: https://azmirror.com/2019/04/01/aps-docs-reveal-it-funded-2014-dark-money-effort-supporting-commissioners-son/</w:t>
      </w:r>
      <w:r>
        <w:t xml:space="preserve">. </w:t>
      </w:r>
    </w:p>
  </w:footnote>
  <w:footnote w:id="12">
    <w:p w14:paraId="0DD6AEF9" w14:textId="1F291927" w:rsidR="00B75BAB" w:rsidRDefault="00B75BAB" w:rsidP="00B75BAB">
      <w:pPr>
        <w:pStyle w:val="FootnoteText"/>
      </w:pPr>
      <w:r>
        <w:rPr>
          <w:rStyle w:val="FootnoteReference"/>
        </w:rPr>
        <w:footnoteRef/>
      </w:r>
      <w:r>
        <w:t xml:space="preserve"> </w:t>
      </w:r>
      <w:r w:rsidR="00971297">
        <w:t>“</w:t>
      </w:r>
      <w:r w:rsidR="00971297" w:rsidRPr="00971297">
        <w:t xml:space="preserve">Is the California Coalition Fighting Subsidies </w:t>
      </w:r>
      <w:proofErr w:type="gramStart"/>
      <w:r w:rsidR="00971297" w:rsidRPr="00971297">
        <w:t>For</w:t>
      </w:r>
      <w:proofErr w:type="gramEnd"/>
      <w:r w:rsidR="00971297" w:rsidRPr="00971297">
        <w:t xml:space="preserve"> Rooftop Solar a Fake Grassroots Group?</w:t>
      </w:r>
      <w:r w:rsidR="00971297">
        <w:t>”</w:t>
      </w:r>
      <w:r w:rsidR="00971297" w:rsidRPr="00971297">
        <w:t xml:space="preserve"> </w:t>
      </w:r>
      <w:r w:rsidR="00971297" w:rsidRPr="00971297">
        <w:rPr>
          <w:u w:val="single"/>
        </w:rPr>
        <w:t>Inside Climate News</w:t>
      </w:r>
      <w:r w:rsidR="00971297" w:rsidRPr="00971297">
        <w:t>, Feb. 8, 2022, at:</w:t>
      </w:r>
      <w:r w:rsidR="004B7ED9">
        <w:t xml:space="preserve"> </w:t>
      </w:r>
      <w:r w:rsidR="00971297" w:rsidRPr="00971297">
        <w:t>https://insideclimatenews.org/news/08022022/is-the-california-coalition-fighting-subsidies-for-rooftop-solar-a-fake-grassroots-group/</w:t>
      </w:r>
      <w:r>
        <w:t xml:space="preserve">. </w:t>
      </w:r>
    </w:p>
  </w:footnote>
  <w:footnote w:id="13">
    <w:p w14:paraId="251CA2F7" w14:textId="77777777" w:rsidR="00EA53F6" w:rsidRDefault="00EA53F6" w:rsidP="00EA53F6">
      <w:pPr>
        <w:pStyle w:val="FootnoteText"/>
      </w:pPr>
      <w:r>
        <w:rPr>
          <w:rStyle w:val="FootnoteReference"/>
        </w:rPr>
        <w:footnoteRef/>
      </w:r>
      <w:r>
        <w:t xml:space="preserve"> </w:t>
      </w:r>
      <w:r w:rsidRPr="00014C78">
        <w:t>https://caltax.org/about/#who-we-are</w:t>
      </w:r>
      <w:r>
        <w:t xml:space="preserve">. </w:t>
      </w:r>
    </w:p>
  </w:footnote>
  <w:footnote w:id="14">
    <w:p w14:paraId="1B6AA64A" w14:textId="7D9F9FB0" w:rsidR="00BF5C47" w:rsidRDefault="00BF5C47">
      <w:pPr>
        <w:pStyle w:val="FootnoteText"/>
      </w:pPr>
      <w:r>
        <w:rPr>
          <w:rStyle w:val="FootnoteReference"/>
        </w:rPr>
        <w:footnoteRef/>
      </w:r>
      <w:r>
        <w:t xml:space="preserve"> </w:t>
      </w:r>
      <w:r w:rsidRPr="00BF5C47">
        <w:t>https://pac.org/membership/directory/alphabetical#e</w:t>
      </w:r>
      <w:r>
        <w:t xml:space="preserve">. </w:t>
      </w:r>
    </w:p>
  </w:footnote>
  <w:footnote w:id="15">
    <w:p w14:paraId="5C594CD8" w14:textId="26C39573" w:rsidR="003000CD" w:rsidRPr="00974AD7" w:rsidRDefault="003000CD" w:rsidP="003000CD">
      <w:pPr>
        <w:pStyle w:val="FootnoteText"/>
      </w:pPr>
      <w:r w:rsidRPr="00974AD7">
        <w:rPr>
          <w:rStyle w:val="FootnoteReference"/>
          <w:rFonts w:eastAsia="Palatino Linotype"/>
        </w:rPr>
        <w:footnoteRef/>
      </w:r>
      <w:r w:rsidRPr="00974AD7">
        <w:rPr>
          <w:rFonts w:eastAsia="Palatino Linotype"/>
        </w:rPr>
        <w:t xml:space="preserve"> https://www.opensecrets.org/federal-lobbying/top-spenders?cycle=a.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A80"/>
    <w:multiLevelType w:val="hybridMultilevel"/>
    <w:tmpl w:val="B5D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72D22"/>
    <w:multiLevelType w:val="hybridMultilevel"/>
    <w:tmpl w:val="03E6E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D0AA9"/>
    <w:multiLevelType w:val="hybridMultilevel"/>
    <w:tmpl w:val="2E7826FA"/>
    <w:lvl w:ilvl="0" w:tplc="CA466372">
      <w:start w:val="1"/>
      <w:numFmt w:val="bullet"/>
      <w:lvlText w:val=""/>
      <w:lvlJc w:val="left"/>
      <w:pPr>
        <w:ind w:left="1080" w:hanging="360"/>
      </w:pPr>
      <w:rPr>
        <w:rFonts w:ascii="Symbol" w:hAnsi="Symbol" w:hint="default"/>
      </w:rPr>
    </w:lvl>
    <w:lvl w:ilvl="1" w:tplc="A64A0F5E">
      <w:start w:val="1"/>
      <w:numFmt w:val="bullet"/>
      <w:lvlText w:val="o"/>
      <w:lvlJc w:val="left"/>
      <w:pPr>
        <w:ind w:left="1800" w:hanging="360"/>
      </w:pPr>
      <w:rPr>
        <w:rFonts w:ascii="Courier New" w:hAnsi="Courier New" w:hint="default"/>
      </w:rPr>
    </w:lvl>
    <w:lvl w:ilvl="2" w:tplc="E0825B28">
      <w:start w:val="1"/>
      <w:numFmt w:val="bullet"/>
      <w:lvlText w:val=""/>
      <w:lvlJc w:val="left"/>
      <w:pPr>
        <w:ind w:left="2520" w:hanging="360"/>
      </w:pPr>
      <w:rPr>
        <w:rFonts w:ascii="Wingdings" w:hAnsi="Wingdings" w:hint="default"/>
      </w:rPr>
    </w:lvl>
    <w:lvl w:ilvl="3" w:tplc="A4ACCBFE">
      <w:start w:val="1"/>
      <w:numFmt w:val="bullet"/>
      <w:lvlText w:val=""/>
      <w:lvlJc w:val="left"/>
      <w:pPr>
        <w:ind w:left="3240" w:hanging="360"/>
      </w:pPr>
      <w:rPr>
        <w:rFonts w:ascii="Symbol" w:hAnsi="Symbol" w:hint="default"/>
      </w:rPr>
    </w:lvl>
    <w:lvl w:ilvl="4" w:tplc="608EBB24">
      <w:start w:val="1"/>
      <w:numFmt w:val="bullet"/>
      <w:lvlText w:val="o"/>
      <w:lvlJc w:val="left"/>
      <w:pPr>
        <w:ind w:left="3960" w:hanging="360"/>
      </w:pPr>
      <w:rPr>
        <w:rFonts w:ascii="Courier New" w:hAnsi="Courier New" w:hint="default"/>
      </w:rPr>
    </w:lvl>
    <w:lvl w:ilvl="5" w:tplc="0A3CE92A">
      <w:start w:val="1"/>
      <w:numFmt w:val="bullet"/>
      <w:lvlText w:val=""/>
      <w:lvlJc w:val="left"/>
      <w:pPr>
        <w:ind w:left="4680" w:hanging="360"/>
      </w:pPr>
      <w:rPr>
        <w:rFonts w:ascii="Wingdings" w:hAnsi="Wingdings" w:hint="default"/>
      </w:rPr>
    </w:lvl>
    <w:lvl w:ilvl="6" w:tplc="910058D0">
      <w:start w:val="1"/>
      <w:numFmt w:val="bullet"/>
      <w:lvlText w:val=""/>
      <w:lvlJc w:val="left"/>
      <w:pPr>
        <w:ind w:left="5400" w:hanging="360"/>
      </w:pPr>
      <w:rPr>
        <w:rFonts w:ascii="Symbol" w:hAnsi="Symbol" w:hint="default"/>
      </w:rPr>
    </w:lvl>
    <w:lvl w:ilvl="7" w:tplc="9D1A5FF2">
      <w:start w:val="1"/>
      <w:numFmt w:val="bullet"/>
      <w:lvlText w:val="o"/>
      <w:lvlJc w:val="left"/>
      <w:pPr>
        <w:ind w:left="6120" w:hanging="360"/>
      </w:pPr>
      <w:rPr>
        <w:rFonts w:ascii="Courier New" w:hAnsi="Courier New" w:hint="default"/>
      </w:rPr>
    </w:lvl>
    <w:lvl w:ilvl="8" w:tplc="655A8BF2">
      <w:start w:val="1"/>
      <w:numFmt w:val="bullet"/>
      <w:lvlText w:val=""/>
      <w:lvlJc w:val="left"/>
      <w:pPr>
        <w:ind w:left="6840" w:hanging="360"/>
      </w:pPr>
      <w:rPr>
        <w:rFonts w:ascii="Wingdings" w:hAnsi="Wingdings" w:hint="default"/>
      </w:rPr>
    </w:lvl>
  </w:abstractNum>
  <w:abstractNum w:abstractNumId="3" w15:restartNumberingAfterBreak="0">
    <w:nsid w:val="27565902"/>
    <w:multiLevelType w:val="hybridMultilevel"/>
    <w:tmpl w:val="F1226C72"/>
    <w:lvl w:ilvl="0" w:tplc="FFFFFFFF">
      <w:start w:val="1"/>
      <w:numFmt w:val="bullet"/>
      <w:lvlText w:val=""/>
      <w:lvlJc w:val="left"/>
      <w:pPr>
        <w:ind w:left="720" w:hanging="360"/>
      </w:pPr>
      <w:rPr>
        <w:rFonts w:ascii="Symbol" w:hAnsi="Symbol" w:hint="default"/>
      </w:rPr>
    </w:lvl>
    <w:lvl w:ilvl="1" w:tplc="751294C2">
      <w:start w:val="1"/>
      <w:numFmt w:val="bullet"/>
      <w:lvlText w:val="o"/>
      <w:lvlJc w:val="left"/>
      <w:pPr>
        <w:ind w:left="1440" w:hanging="360"/>
      </w:pPr>
      <w:rPr>
        <w:rFonts w:ascii="Courier New" w:hAnsi="Courier New" w:hint="default"/>
      </w:rPr>
    </w:lvl>
    <w:lvl w:ilvl="2" w:tplc="4B36D47E">
      <w:start w:val="1"/>
      <w:numFmt w:val="bullet"/>
      <w:lvlText w:val=""/>
      <w:lvlJc w:val="left"/>
      <w:pPr>
        <w:ind w:left="2160" w:hanging="360"/>
      </w:pPr>
      <w:rPr>
        <w:rFonts w:ascii="Wingdings" w:hAnsi="Wingdings" w:hint="default"/>
      </w:rPr>
    </w:lvl>
    <w:lvl w:ilvl="3" w:tplc="A7667744">
      <w:start w:val="1"/>
      <w:numFmt w:val="bullet"/>
      <w:lvlText w:val=""/>
      <w:lvlJc w:val="left"/>
      <w:pPr>
        <w:ind w:left="2880" w:hanging="360"/>
      </w:pPr>
      <w:rPr>
        <w:rFonts w:ascii="Symbol" w:hAnsi="Symbol" w:hint="default"/>
      </w:rPr>
    </w:lvl>
    <w:lvl w:ilvl="4" w:tplc="FE12C544">
      <w:start w:val="1"/>
      <w:numFmt w:val="bullet"/>
      <w:lvlText w:val="o"/>
      <w:lvlJc w:val="left"/>
      <w:pPr>
        <w:ind w:left="3600" w:hanging="360"/>
      </w:pPr>
      <w:rPr>
        <w:rFonts w:ascii="Courier New" w:hAnsi="Courier New" w:hint="default"/>
      </w:rPr>
    </w:lvl>
    <w:lvl w:ilvl="5" w:tplc="389C25AC">
      <w:start w:val="1"/>
      <w:numFmt w:val="bullet"/>
      <w:lvlText w:val=""/>
      <w:lvlJc w:val="left"/>
      <w:pPr>
        <w:ind w:left="4320" w:hanging="360"/>
      </w:pPr>
      <w:rPr>
        <w:rFonts w:ascii="Wingdings" w:hAnsi="Wingdings" w:hint="default"/>
      </w:rPr>
    </w:lvl>
    <w:lvl w:ilvl="6" w:tplc="93B04E7A">
      <w:start w:val="1"/>
      <w:numFmt w:val="bullet"/>
      <w:lvlText w:val=""/>
      <w:lvlJc w:val="left"/>
      <w:pPr>
        <w:ind w:left="5040" w:hanging="360"/>
      </w:pPr>
      <w:rPr>
        <w:rFonts w:ascii="Symbol" w:hAnsi="Symbol" w:hint="default"/>
      </w:rPr>
    </w:lvl>
    <w:lvl w:ilvl="7" w:tplc="28F0E05A">
      <w:start w:val="1"/>
      <w:numFmt w:val="bullet"/>
      <w:lvlText w:val="o"/>
      <w:lvlJc w:val="left"/>
      <w:pPr>
        <w:ind w:left="5760" w:hanging="360"/>
      </w:pPr>
      <w:rPr>
        <w:rFonts w:ascii="Courier New" w:hAnsi="Courier New" w:hint="default"/>
      </w:rPr>
    </w:lvl>
    <w:lvl w:ilvl="8" w:tplc="8BC2F41C">
      <w:start w:val="1"/>
      <w:numFmt w:val="bullet"/>
      <w:lvlText w:val=""/>
      <w:lvlJc w:val="left"/>
      <w:pPr>
        <w:ind w:left="6480" w:hanging="360"/>
      </w:pPr>
      <w:rPr>
        <w:rFonts w:ascii="Wingdings" w:hAnsi="Wingdings" w:hint="default"/>
      </w:rPr>
    </w:lvl>
  </w:abstractNum>
  <w:abstractNum w:abstractNumId="4" w15:restartNumberingAfterBreak="0">
    <w:nsid w:val="2B9D6711"/>
    <w:multiLevelType w:val="hybridMultilevel"/>
    <w:tmpl w:val="7804D176"/>
    <w:lvl w:ilvl="0" w:tplc="2716C85E">
      <w:start w:val="1"/>
      <w:numFmt w:val="bullet"/>
      <w:lvlText w:val=""/>
      <w:lvlJc w:val="left"/>
      <w:pPr>
        <w:ind w:left="720" w:hanging="360"/>
      </w:pPr>
      <w:rPr>
        <w:rFonts w:ascii="Symbol" w:hAnsi="Symbol" w:hint="default"/>
      </w:rPr>
    </w:lvl>
    <w:lvl w:ilvl="1" w:tplc="4CE0BD30">
      <w:start w:val="1"/>
      <w:numFmt w:val="bullet"/>
      <w:lvlText w:val="o"/>
      <w:lvlJc w:val="left"/>
      <w:pPr>
        <w:ind w:left="1440" w:hanging="360"/>
      </w:pPr>
      <w:rPr>
        <w:rFonts w:ascii="Courier New" w:hAnsi="Courier New" w:hint="default"/>
      </w:rPr>
    </w:lvl>
    <w:lvl w:ilvl="2" w:tplc="85D25556">
      <w:start w:val="1"/>
      <w:numFmt w:val="bullet"/>
      <w:lvlText w:val=""/>
      <w:lvlJc w:val="left"/>
      <w:pPr>
        <w:ind w:left="2160" w:hanging="360"/>
      </w:pPr>
      <w:rPr>
        <w:rFonts w:ascii="Wingdings" w:hAnsi="Wingdings" w:hint="default"/>
      </w:rPr>
    </w:lvl>
    <w:lvl w:ilvl="3" w:tplc="1A022C86">
      <w:start w:val="1"/>
      <w:numFmt w:val="bullet"/>
      <w:lvlText w:val=""/>
      <w:lvlJc w:val="left"/>
      <w:pPr>
        <w:ind w:left="2880" w:hanging="360"/>
      </w:pPr>
      <w:rPr>
        <w:rFonts w:ascii="Symbol" w:hAnsi="Symbol" w:hint="default"/>
      </w:rPr>
    </w:lvl>
    <w:lvl w:ilvl="4" w:tplc="957A1056">
      <w:start w:val="1"/>
      <w:numFmt w:val="bullet"/>
      <w:lvlText w:val="o"/>
      <w:lvlJc w:val="left"/>
      <w:pPr>
        <w:ind w:left="3600" w:hanging="360"/>
      </w:pPr>
      <w:rPr>
        <w:rFonts w:ascii="Courier New" w:hAnsi="Courier New" w:hint="default"/>
      </w:rPr>
    </w:lvl>
    <w:lvl w:ilvl="5" w:tplc="35D24268">
      <w:start w:val="1"/>
      <w:numFmt w:val="bullet"/>
      <w:lvlText w:val=""/>
      <w:lvlJc w:val="left"/>
      <w:pPr>
        <w:ind w:left="4320" w:hanging="360"/>
      </w:pPr>
      <w:rPr>
        <w:rFonts w:ascii="Wingdings" w:hAnsi="Wingdings" w:hint="default"/>
      </w:rPr>
    </w:lvl>
    <w:lvl w:ilvl="6" w:tplc="F4121E36">
      <w:start w:val="1"/>
      <w:numFmt w:val="bullet"/>
      <w:lvlText w:val=""/>
      <w:lvlJc w:val="left"/>
      <w:pPr>
        <w:ind w:left="5040" w:hanging="360"/>
      </w:pPr>
      <w:rPr>
        <w:rFonts w:ascii="Symbol" w:hAnsi="Symbol" w:hint="default"/>
      </w:rPr>
    </w:lvl>
    <w:lvl w:ilvl="7" w:tplc="63F63536">
      <w:start w:val="1"/>
      <w:numFmt w:val="bullet"/>
      <w:lvlText w:val="o"/>
      <w:lvlJc w:val="left"/>
      <w:pPr>
        <w:ind w:left="5760" w:hanging="360"/>
      </w:pPr>
      <w:rPr>
        <w:rFonts w:ascii="Courier New" w:hAnsi="Courier New" w:hint="default"/>
      </w:rPr>
    </w:lvl>
    <w:lvl w:ilvl="8" w:tplc="BF105D44">
      <w:start w:val="1"/>
      <w:numFmt w:val="bullet"/>
      <w:lvlText w:val=""/>
      <w:lvlJc w:val="left"/>
      <w:pPr>
        <w:ind w:left="6480" w:hanging="360"/>
      </w:pPr>
      <w:rPr>
        <w:rFonts w:ascii="Wingdings" w:hAnsi="Wingdings" w:hint="default"/>
      </w:rPr>
    </w:lvl>
  </w:abstractNum>
  <w:abstractNum w:abstractNumId="5" w15:restartNumberingAfterBreak="0">
    <w:nsid w:val="3304500E"/>
    <w:multiLevelType w:val="hybridMultilevel"/>
    <w:tmpl w:val="F3F24F44"/>
    <w:lvl w:ilvl="0" w:tplc="662AD05C">
      <w:start w:val="1"/>
      <w:numFmt w:val="bullet"/>
      <w:lvlText w:val=""/>
      <w:lvlJc w:val="left"/>
      <w:pPr>
        <w:ind w:left="1080" w:hanging="360"/>
      </w:pPr>
      <w:rPr>
        <w:rFonts w:ascii="Symbol" w:hAnsi="Symbol" w:hint="default"/>
      </w:rPr>
    </w:lvl>
    <w:lvl w:ilvl="1" w:tplc="F12015D6">
      <w:start w:val="1"/>
      <w:numFmt w:val="bullet"/>
      <w:lvlText w:val="o"/>
      <w:lvlJc w:val="left"/>
      <w:pPr>
        <w:ind w:left="1800" w:hanging="360"/>
      </w:pPr>
      <w:rPr>
        <w:rFonts w:ascii="Courier New" w:hAnsi="Courier New" w:hint="default"/>
      </w:rPr>
    </w:lvl>
    <w:lvl w:ilvl="2" w:tplc="0C709A02">
      <w:start w:val="1"/>
      <w:numFmt w:val="bullet"/>
      <w:lvlText w:val=""/>
      <w:lvlJc w:val="left"/>
      <w:pPr>
        <w:ind w:left="2520" w:hanging="360"/>
      </w:pPr>
      <w:rPr>
        <w:rFonts w:ascii="Wingdings" w:hAnsi="Wingdings" w:hint="default"/>
      </w:rPr>
    </w:lvl>
    <w:lvl w:ilvl="3" w:tplc="C5D631F0">
      <w:start w:val="1"/>
      <w:numFmt w:val="bullet"/>
      <w:lvlText w:val=""/>
      <w:lvlJc w:val="left"/>
      <w:pPr>
        <w:ind w:left="3240" w:hanging="360"/>
      </w:pPr>
      <w:rPr>
        <w:rFonts w:ascii="Symbol" w:hAnsi="Symbol" w:hint="default"/>
      </w:rPr>
    </w:lvl>
    <w:lvl w:ilvl="4" w:tplc="48041D0C">
      <w:start w:val="1"/>
      <w:numFmt w:val="bullet"/>
      <w:lvlText w:val="o"/>
      <w:lvlJc w:val="left"/>
      <w:pPr>
        <w:ind w:left="3960" w:hanging="360"/>
      </w:pPr>
      <w:rPr>
        <w:rFonts w:ascii="Courier New" w:hAnsi="Courier New" w:hint="default"/>
      </w:rPr>
    </w:lvl>
    <w:lvl w:ilvl="5" w:tplc="CC0CA36E">
      <w:start w:val="1"/>
      <w:numFmt w:val="bullet"/>
      <w:lvlText w:val=""/>
      <w:lvlJc w:val="left"/>
      <w:pPr>
        <w:ind w:left="4680" w:hanging="360"/>
      </w:pPr>
      <w:rPr>
        <w:rFonts w:ascii="Wingdings" w:hAnsi="Wingdings" w:hint="default"/>
      </w:rPr>
    </w:lvl>
    <w:lvl w:ilvl="6" w:tplc="61601680">
      <w:start w:val="1"/>
      <w:numFmt w:val="bullet"/>
      <w:lvlText w:val=""/>
      <w:lvlJc w:val="left"/>
      <w:pPr>
        <w:ind w:left="5400" w:hanging="360"/>
      </w:pPr>
      <w:rPr>
        <w:rFonts w:ascii="Symbol" w:hAnsi="Symbol" w:hint="default"/>
      </w:rPr>
    </w:lvl>
    <w:lvl w:ilvl="7" w:tplc="7C2E8058">
      <w:start w:val="1"/>
      <w:numFmt w:val="bullet"/>
      <w:lvlText w:val="o"/>
      <w:lvlJc w:val="left"/>
      <w:pPr>
        <w:ind w:left="6120" w:hanging="360"/>
      </w:pPr>
      <w:rPr>
        <w:rFonts w:ascii="Courier New" w:hAnsi="Courier New" w:hint="default"/>
      </w:rPr>
    </w:lvl>
    <w:lvl w:ilvl="8" w:tplc="2E30671E">
      <w:start w:val="1"/>
      <w:numFmt w:val="bullet"/>
      <w:lvlText w:val=""/>
      <w:lvlJc w:val="left"/>
      <w:pPr>
        <w:ind w:left="6840" w:hanging="360"/>
      </w:pPr>
      <w:rPr>
        <w:rFonts w:ascii="Wingdings" w:hAnsi="Wingdings" w:hint="default"/>
      </w:rPr>
    </w:lvl>
  </w:abstractNum>
  <w:abstractNum w:abstractNumId="6" w15:restartNumberingAfterBreak="0">
    <w:nsid w:val="3CB22AEB"/>
    <w:multiLevelType w:val="hybridMultilevel"/>
    <w:tmpl w:val="51FE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762C6"/>
    <w:multiLevelType w:val="hybridMultilevel"/>
    <w:tmpl w:val="35AE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2872"/>
    <w:multiLevelType w:val="hybridMultilevel"/>
    <w:tmpl w:val="97D6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B4D5E"/>
    <w:multiLevelType w:val="hybridMultilevel"/>
    <w:tmpl w:val="C91A8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AB6E64"/>
    <w:multiLevelType w:val="hybridMultilevel"/>
    <w:tmpl w:val="80FE247A"/>
    <w:lvl w:ilvl="0" w:tplc="C21ADCA2">
      <w:start w:val="1"/>
      <w:numFmt w:val="bullet"/>
      <w:lvlText w:val=""/>
      <w:lvlJc w:val="left"/>
      <w:pPr>
        <w:ind w:left="720" w:hanging="360"/>
      </w:pPr>
      <w:rPr>
        <w:rFonts w:ascii="Symbol" w:hAnsi="Symbol" w:hint="default"/>
      </w:rPr>
    </w:lvl>
    <w:lvl w:ilvl="1" w:tplc="AD2CF38C">
      <w:start w:val="1"/>
      <w:numFmt w:val="bullet"/>
      <w:lvlText w:val="o"/>
      <w:lvlJc w:val="left"/>
      <w:pPr>
        <w:ind w:left="1440" w:hanging="360"/>
      </w:pPr>
      <w:rPr>
        <w:rFonts w:ascii="Courier New" w:hAnsi="Courier New" w:hint="default"/>
      </w:rPr>
    </w:lvl>
    <w:lvl w:ilvl="2" w:tplc="07EE965E">
      <w:start w:val="1"/>
      <w:numFmt w:val="bullet"/>
      <w:lvlText w:val=""/>
      <w:lvlJc w:val="left"/>
      <w:pPr>
        <w:ind w:left="2160" w:hanging="360"/>
      </w:pPr>
      <w:rPr>
        <w:rFonts w:ascii="Wingdings" w:hAnsi="Wingdings" w:hint="default"/>
      </w:rPr>
    </w:lvl>
    <w:lvl w:ilvl="3" w:tplc="213A2B5A">
      <w:start w:val="1"/>
      <w:numFmt w:val="bullet"/>
      <w:lvlText w:val=""/>
      <w:lvlJc w:val="left"/>
      <w:pPr>
        <w:ind w:left="2880" w:hanging="360"/>
      </w:pPr>
      <w:rPr>
        <w:rFonts w:ascii="Symbol" w:hAnsi="Symbol" w:hint="default"/>
      </w:rPr>
    </w:lvl>
    <w:lvl w:ilvl="4" w:tplc="A88A2ED6">
      <w:start w:val="1"/>
      <w:numFmt w:val="bullet"/>
      <w:lvlText w:val="o"/>
      <w:lvlJc w:val="left"/>
      <w:pPr>
        <w:ind w:left="3600" w:hanging="360"/>
      </w:pPr>
      <w:rPr>
        <w:rFonts w:ascii="Courier New" w:hAnsi="Courier New" w:hint="default"/>
      </w:rPr>
    </w:lvl>
    <w:lvl w:ilvl="5" w:tplc="386CF1E2">
      <w:start w:val="1"/>
      <w:numFmt w:val="bullet"/>
      <w:lvlText w:val=""/>
      <w:lvlJc w:val="left"/>
      <w:pPr>
        <w:ind w:left="4320" w:hanging="360"/>
      </w:pPr>
      <w:rPr>
        <w:rFonts w:ascii="Wingdings" w:hAnsi="Wingdings" w:hint="default"/>
      </w:rPr>
    </w:lvl>
    <w:lvl w:ilvl="6" w:tplc="F134DC22">
      <w:start w:val="1"/>
      <w:numFmt w:val="bullet"/>
      <w:lvlText w:val=""/>
      <w:lvlJc w:val="left"/>
      <w:pPr>
        <w:ind w:left="5040" w:hanging="360"/>
      </w:pPr>
      <w:rPr>
        <w:rFonts w:ascii="Symbol" w:hAnsi="Symbol" w:hint="default"/>
      </w:rPr>
    </w:lvl>
    <w:lvl w:ilvl="7" w:tplc="B06E1948">
      <w:start w:val="1"/>
      <w:numFmt w:val="bullet"/>
      <w:lvlText w:val="o"/>
      <w:lvlJc w:val="left"/>
      <w:pPr>
        <w:ind w:left="5760" w:hanging="360"/>
      </w:pPr>
      <w:rPr>
        <w:rFonts w:ascii="Courier New" w:hAnsi="Courier New" w:hint="default"/>
      </w:rPr>
    </w:lvl>
    <w:lvl w:ilvl="8" w:tplc="22C2D22E">
      <w:start w:val="1"/>
      <w:numFmt w:val="bullet"/>
      <w:lvlText w:val=""/>
      <w:lvlJc w:val="left"/>
      <w:pPr>
        <w:ind w:left="6480" w:hanging="360"/>
      </w:pPr>
      <w:rPr>
        <w:rFonts w:ascii="Wingdings" w:hAnsi="Wingdings" w:hint="default"/>
      </w:rPr>
    </w:lvl>
  </w:abstractNum>
  <w:abstractNum w:abstractNumId="11" w15:restartNumberingAfterBreak="0">
    <w:nsid w:val="43AD0190"/>
    <w:multiLevelType w:val="hybridMultilevel"/>
    <w:tmpl w:val="27984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0C4A5F"/>
    <w:multiLevelType w:val="hybridMultilevel"/>
    <w:tmpl w:val="C4F8E3B6"/>
    <w:lvl w:ilvl="0" w:tplc="0409000F">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A05463"/>
    <w:multiLevelType w:val="hybridMultilevel"/>
    <w:tmpl w:val="A866FAC6"/>
    <w:lvl w:ilvl="0" w:tplc="3B2C8F06">
      <w:start w:val="1"/>
      <w:numFmt w:val="decimal"/>
      <w:lvlText w:val="%1."/>
      <w:lvlJc w:val="left"/>
      <w:pPr>
        <w:ind w:left="360" w:hanging="360"/>
      </w:pPr>
      <w:rPr>
        <w:rFonts w:ascii="Times New Roman" w:eastAsia="Times New Roman" w:hAnsi="Times New Roman" w:cs="Times New Roman"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250A34"/>
    <w:multiLevelType w:val="hybridMultilevel"/>
    <w:tmpl w:val="712C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51EEC"/>
    <w:multiLevelType w:val="hybridMultilevel"/>
    <w:tmpl w:val="DF8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F3DC0"/>
    <w:multiLevelType w:val="hybridMultilevel"/>
    <w:tmpl w:val="164A53CE"/>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3106C7"/>
    <w:multiLevelType w:val="hybridMultilevel"/>
    <w:tmpl w:val="805A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C3B96"/>
    <w:multiLevelType w:val="hybridMultilevel"/>
    <w:tmpl w:val="5692A0EE"/>
    <w:lvl w:ilvl="0" w:tplc="0A5CBD56">
      <w:start w:val="1"/>
      <w:numFmt w:val="bullet"/>
      <w:lvlText w:val=""/>
      <w:lvlJc w:val="left"/>
      <w:pPr>
        <w:ind w:left="1080" w:hanging="360"/>
      </w:pPr>
      <w:rPr>
        <w:rFonts w:ascii="Symbol" w:hAnsi="Symbol" w:hint="default"/>
      </w:rPr>
    </w:lvl>
    <w:lvl w:ilvl="1" w:tplc="1570DF18">
      <w:start w:val="1"/>
      <w:numFmt w:val="bullet"/>
      <w:lvlText w:val="o"/>
      <w:lvlJc w:val="left"/>
      <w:pPr>
        <w:ind w:left="1800" w:hanging="360"/>
      </w:pPr>
      <w:rPr>
        <w:rFonts w:ascii="Courier New" w:hAnsi="Courier New" w:hint="default"/>
      </w:rPr>
    </w:lvl>
    <w:lvl w:ilvl="2" w:tplc="31E81AB8">
      <w:start w:val="1"/>
      <w:numFmt w:val="bullet"/>
      <w:lvlText w:val=""/>
      <w:lvlJc w:val="left"/>
      <w:pPr>
        <w:ind w:left="2520" w:hanging="360"/>
      </w:pPr>
      <w:rPr>
        <w:rFonts w:ascii="Wingdings" w:hAnsi="Wingdings" w:hint="default"/>
      </w:rPr>
    </w:lvl>
    <w:lvl w:ilvl="3" w:tplc="4BFA3B86">
      <w:start w:val="1"/>
      <w:numFmt w:val="bullet"/>
      <w:lvlText w:val=""/>
      <w:lvlJc w:val="left"/>
      <w:pPr>
        <w:ind w:left="3240" w:hanging="360"/>
      </w:pPr>
      <w:rPr>
        <w:rFonts w:ascii="Symbol" w:hAnsi="Symbol" w:hint="default"/>
      </w:rPr>
    </w:lvl>
    <w:lvl w:ilvl="4" w:tplc="F5685B34">
      <w:start w:val="1"/>
      <w:numFmt w:val="bullet"/>
      <w:lvlText w:val="o"/>
      <w:lvlJc w:val="left"/>
      <w:pPr>
        <w:ind w:left="3960" w:hanging="360"/>
      </w:pPr>
      <w:rPr>
        <w:rFonts w:ascii="Courier New" w:hAnsi="Courier New" w:hint="default"/>
      </w:rPr>
    </w:lvl>
    <w:lvl w:ilvl="5" w:tplc="5BF08504">
      <w:start w:val="1"/>
      <w:numFmt w:val="bullet"/>
      <w:lvlText w:val=""/>
      <w:lvlJc w:val="left"/>
      <w:pPr>
        <w:ind w:left="4680" w:hanging="360"/>
      </w:pPr>
      <w:rPr>
        <w:rFonts w:ascii="Wingdings" w:hAnsi="Wingdings" w:hint="default"/>
      </w:rPr>
    </w:lvl>
    <w:lvl w:ilvl="6" w:tplc="4CC47A66">
      <w:start w:val="1"/>
      <w:numFmt w:val="bullet"/>
      <w:lvlText w:val=""/>
      <w:lvlJc w:val="left"/>
      <w:pPr>
        <w:ind w:left="5400" w:hanging="360"/>
      </w:pPr>
      <w:rPr>
        <w:rFonts w:ascii="Symbol" w:hAnsi="Symbol" w:hint="default"/>
      </w:rPr>
    </w:lvl>
    <w:lvl w:ilvl="7" w:tplc="35BCBB6A">
      <w:start w:val="1"/>
      <w:numFmt w:val="bullet"/>
      <w:lvlText w:val="o"/>
      <w:lvlJc w:val="left"/>
      <w:pPr>
        <w:ind w:left="6120" w:hanging="360"/>
      </w:pPr>
      <w:rPr>
        <w:rFonts w:ascii="Courier New" w:hAnsi="Courier New" w:hint="default"/>
      </w:rPr>
    </w:lvl>
    <w:lvl w:ilvl="8" w:tplc="5CACBE18">
      <w:start w:val="1"/>
      <w:numFmt w:val="bullet"/>
      <w:lvlText w:val=""/>
      <w:lvlJc w:val="left"/>
      <w:pPr>
        <w:ind w:left="6840" w:hanging="360"/>
      </w:pPr>
      <w:rPr>
        <w:rFonts w:ascii="Wingdings" w:hAnsi="Wingdings" w:hint="default"/>
      </w:rPr>
    </w:lvl>
  </w:abstractNum>
  <w:abstractNum w:abstractNumId="19" w15:restartNumberingAfterBreak="0">
    <w:nsid w:val="6837531C"/>
    <w:multiLevelType w:val="hybridMultilevel"/>
    <w:tmpl w:val="318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96127"/>
    <w:multiLevelType w:val="hybridMultilevel"/>
    <w:tmpl w:val="5ABA2630"/>
    <w:lvl w:ilvl="0" w:tplc="41967D94">
      <w:start w:val="1"/>
      <w:numFmt w:val="decimal"/>
      <w:lvlText w:val="%1."/>
      <w:lvlJc w:val="left"/>
      <w:pPr>
        <w:ind w:left="360" w:hanging="360"/>
      </w:pPr>
      <w:rPr>
        <w:rFonts w:ascii="Times New Roman" w:eastAsia="Times New Roman" w:hAnsi="Times New Roman" w:cs="Times New Roman"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AD10CD"/>
    <w:multiLevelType w:val="hybridMultilevel"/>
    <w:tmpl w:val="8292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15DC4"/>
    <w:multiLevelType w:val="hybridMultilevel"/>
    <w:tmpl w:val="CA04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693774">
    <w:abstractNumId w:val="9"/>
  </w:num>
  <w:num w:numId="2" w16cid:durableId="1050416696">
    <w:abstractNumId w:val="1"/>
  </w:num>
  <w:num w:numId="3" w16cid:durableId="2127581572">
    <w:abstractNumId w:val="2"/>
  </w:num>
  <w:num w:numId="4" w16cid:durableId="1120567209">
    <w:abstractNumId w:val="18"/>
  </w:num>
  <w:num w:numId="5" w16cid:durableId="1655986194">
    <w:abstractNumId w:val="14"/>
  </w:num>
  <w:num w:numId="6" w16cid:durableId="230164409">
    <w:abstractNumId w:val="15"/>
  </w:num>
  <w:num w:numId="7" w16cid:durableId="710615314">
    <w:abstractNumId w:val="8"/>
  </w:num>
  <w:num w:numId="8" w16cid:durableId="260918668">
    <w:abstractNumId w:val="6"/>
  </w:num>
  <w:num w:numId="9" w16cid:durableId="1347753964">
    <w:abstractNumId w:val="22"/>
  </w:num>
  <w:num w:numId="10" w16cid:durableId="1829788808">
    <w:abstractNumId w:val="17"/>
  </w:num>
  <w:num w:numId="11" w16cid:durableId="1117800664">
    <w:abstractNumId w:val="21"/>
  </w:num>
  <w:num w:numId="12" w16cid:durableId="1787848935">
    <w:abstractNumId w:val="3"/>
  </w:num>
  <w:num w:numId="13" w16cid:durableId="496774969">
    <w:abstractNumId w:val="19"/>
  </w:num>
  <w:num w:numId="14" w16cid:durableId="1046024168">
    <w:abstractNumId w:val="5"/>
  </w:num>
  <w:num w:numId="15" w16cid:durableId="36584868">
    <w:abstractNumId w:val="0"/>
  </w:num>
  <w:num w:numId="16" w16cid:durableId="694115095">
    <w:abstractNumId w:val="10"/>
  </w:num>
  <w:num w:numId="17" w16cid:durableId="171068143">
    <w:abstractNumId w:val="16"/>
  </w:num>
  <w:num w:numId="18" w16cid:durableId="1994679093">
    <w:abstractNumId w:val="13"/>
  </w:num>
  <w:num w:numId="19" w16cid:durableId="1905140217">
    <w:abstractNumId w:val="4"/>
  </w:num>
  <w:num w:numId="20" w16cid:durableId="124465906">
    <w:abstractNumId w:val="7"/>
  </w:num>
  <w:num w:numId="21" w16cid:durableId="157967125">
    <w:abstractNumId w:val="20"/>
  </w:num>
  <w:num w:numId="22" w16cid:durableId="1362123227">
    <w:abstractNumId w:val="12"/>
  </w:num>
  <w:num w:numId="23" w16cid:durableId="1519469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8E"/>
    <w:rsid w:val="00001E66"/>
    <w:rsid w:val="00005112"/>
    <w:rsid w:val="00005BD4"/>
    <w:rsid w:val="00011349"/>
    <w:rsid w:val="0001770E"/>
    <w:rsid w:val="00022D29"/>
    <w:rsid w:val="00027B17"/>
    <w:rsid w:val="0004358F"/>
    <w:rsid w:val="00046FF6"/>
    <w:rsid w:val="00077165"/>
    <w:rsid w:val="00086C88"/>
    <w:rsid w:val="00090A99"/>
    <w:rsid w:val="000E6207"/>
    <w:rsid w:val="000F6BA0"/>
    <w:rsid w:val="0012346C"/>
    <w:rsid w:val="00172E87"/>
    <w:rsid w:val="001738AD"/>
    <w:rsid w:val="00194586"/>
    <w:rsid w:val="001A3F3E"/>
    <w:rsid w:val="001B0DF0"/>
    <w:rsid w:val="001D05AC"/>
    <w:rsid w:val="001D2BB9"/>
    <w:rsid w:val="001E2CC8"/>
    <w:rsid w:val="001F5F7A"/>
    <w:rsid w:val="00222EC0"/>
    <w:rsid w:val="00223008"/>
    <w:rsid w:val="00272BA2"/>
    <w:rsid w:val="00290C25"/>
    <w:rsid w:val="0029332B"/>
    <w:rsid w:val="002A43C3"/>
    <w:rsid w:val="002B5289"/>
    <w:rsid w:val="002D6583"/>
    <w:rsid w:val="002D7871"/>
    <w:rsid w:val="002E2661"/>
    <w:rsid w:val="002E2AAA"/>
    <w:rsid w:val="002E65B9"/>
    <w:rsid w:val="002E7921"/>
    <w:rsid w:val="002F1FCF"/>
    <w:rsid w:val="003000CD"/>
    <w:rsid w:val="00344315"/>
    <w:rsid w:val="00354D29"/>
    <w:rsid w:val="00355A59"/>
    <w:rsid w:val="0036055D"/>
    <w:rsid w:val="00372382"/>
    <w:rsid w:val="003726F8"/>
    <w:rsid w:val="003F3D3A"/>
    <w:rsid w:val="00403161"/>
    <w:rsid w:val="004337BE"/>
    <w:rsid w:val="00435B1A"/>
    <w:rsid w:val="00455FD1"/>
    <w:rsid w:val="004711A7"/>
    <w:rsid w:val="00472CDC"/>
    <w:rsid w:val="00473C4B"/>
    <w:rsid w:val="0048744D"/>
    <w:rsid w:val="004A2CF4"/>
    <w:rsid w:val="004B7ED9"/>
    <w:rsid w:val="004C70E0"/>
    <w:rsid w:val="004F369B"/>
    <w:rsid w:val="00503695"/>
    <w:rsid w:val="00503C85"/>
    <w:rsid w:val="005129D1"/>
    <w:rsid w:val="005334A0"/>
    <w:rsid w:val="0054638C"/>
    <w:rsid w:val="00560E92"/>
    <w:rsid w:val="00586D92"/>
    <w:rsid w:val="005A649C"/>
    <w:rsid w:val="005B335C"/>
    <w:rsid w:val="005B4569"/>
    <w:rsid w:val="005C162D"/>
    <w:rsid w:val="005D76EF"/>
    <w:rsid w:val="005D7B5E"/>
    <w:rsid w:val="005E025D"/>
    <w:rsid w:val="00603D20"/>
    <w:rsid w:val="00613950"/>
    <w:rsid w:val="00616D35"/>
    <w:rsid w:val="006332A5"/>
    <w:rsid w:val="0064177A"/>
    <w:rsid w:val="006477E2"/>
    <w:rsid w:val="00653E8C"/>
    <w:rsid w:val="006619F4"/>
    <w:rsid w:val="0067346C"/>
    <w:rsid w:val="006B3EDD"/>
    <w:rsid w:val="006E1426"/>
    <w:rsid w:val="006E6616"/>
    <w:rsid w:val="00700FD5"/>
    <w:rsid w:val="00741E19"/>
    <w:rsid w:val="0077345F"/>
    <w:rsid w:val="00782CD5"/>
    <w:rsid w:val="00782D7F"/>
    <w:rsid w:val="007A038E"/>
    <w:rsid w:val="007A0B64"/>
    <w:rsid w:val="007A3D33"/>
    <w:rsid w:val="007B2C47"/>
    <w:rsid w:val="007C21F0"/>
    <w:rsid w:val="007C6476"/>
    <w:rsid w:val="007E50EF"/>
    <w:rsid w:val="007E65D7"/>
    <w:rsid w:val="007F038C"/>
    <w:rsid w:val="00817C47"/>
    <w:rsid w:val="00830CAA"/>
    <w:rsid w:val="00861ADF"/>
    <w:rsid w:val="00877502"/>
    <w:rsid w:val="00890B7D"/>
    <w:rsid w:val="0089415A"/>
    <w:rsid w:val="008A28F7"/>
    <w:rsid w:val="008B19B2"/>
    <w:rsid w:val="008B426D"/>
    <w:rsid w:val="008E1548"/>
    <w:rsid w:val="008E67C1"/>
    <w:rsid w:val="00917282"/>
    <w:rsid w:val="00931413"/>
    <w:rsid w:val="00941154"/>
    <w:rsid w:val="009523EB"/>
    <w:rsid w:val="009671F8"/>
    <w:rsid w:val="00971297"/>
    <w:rsid w:val="00974AD7"/>
    <w:rsid w:val="009815F2"/>
    <w:rsid w:val="00994395"/>
    <w:rsid w:val="009C01EB"/>
    <w:rsid w:val="009C2AD3"/>
    <w:rsid w:val="009E5963"/>
    <w:rsid w:val="009F4E7A"/>
    <w:rsid w:val="00A22C44"/>
    <w:rsid w:val="00A32061"/>
    <w:rsid w:val="00A47C66"/>
    <w:rsid w:val="00A514E5"/>
    <w:rsid w:val="00A56391"/>
    <w:rsid w:val="00A62A58"/>
    <w:rsid w:val="00A7656D"/>
    <w:rsid w:val="00A94214"/>
    <w:rsid w:val="00AB0DD7"/>
    <w:rsid w:val="00AD6842"/>
    <w:rsid w:val="00AD6C33"/>
    <w:rsid w:val="00AF5543"/>
    <w:rsid w:val="00B36B7F"/>
    <w:rsid w:val="00B53669"/>
    <w:rsid w:val="00B5392A"/>
    <w:rsid w:val="00B75BAB"/>
    <w:rsid w:val="00B92EAA"/>
    <w:rsid w:val="00B939D0"/>
    <w:rsid w:val="00BA3AA9"/>
    <w:rsid w:val="00BE622F"/>
    <w:rsid w:val="00BF1220"/>
    <w:rsid w:val="00BF4D98"/>
    <w:rsid w:val="00BF5C47"/>
    <w:rsid w:val="00C063E7"/>
    <w:rsid w:val="00C21EC9"/>
    <w:rsid w:val="00C24AAD"/>
    <w:rsid w:val="00C4283A"/>
    <w:rsid w:val="00C91F62"/>
    <w:rsid w:val="00C926E9"/>
    <w:rsid w:val="00CA50A8"/>
    <w:rsid w:val="00CC2698"/>
    <w:rsid w:val="00CE728E"/>
    <w:rsid w:val="00CF15C1"/>
    <w:rsid w:val="00CF2202"/>
    <w:rsid w:val="00D13FAC"/>
    <w:rsid w:val="00D1711D"/>
    <w:rsid w:val="00D26294"/>
    <w:rsid w:val="00D45301"/>
    <w:rsid w:val="00D850AC"/>
    <w:rsid w:val="00D86EEF"/>
    <w:rsid w:val="00D97DBA"/>
    <w:rsid w:val="00DA6395"/>
    <w:rsid w:val="00DA7A9C"/>
    <w:rsid w:val="00E20FF4"/>
    <w:rsid w:val="00E33E06"/>
    <w:rsid w:val="00E42BC4"/>
    <w:rsid w:val="00E6069C"/>
    <w:rsid w:val="00E62B1C"/>
    <w:rsid w:val="00E84EBB"/>
    <w:rsid w:val="00EA1845"/>
    <w:rsid w:val="00EA53F6"/>
    <w:rsid w:val="00EA74F9"/>
    <w:rsid w:val="00EC2818"/>
    <w:rsid w:val="00EF77EA"/>
    <w:rsid w:val="00F00ECF"/>
    <w:rsid w:val="00F319E9"/>
    <w:rsid w:val="00F43FA6"/>
    <w:rsid w:val="00F80932"/>
    <w:rsid w:val="00F81316"/>
    <w:rsid w:val="00FB0A76"/>
    <w:rsid w:val="00FB350B"/>
    <w:rsid w:val="00FC2A6C"/>
    <w:rsid w:val="00FD1B29"/>
    <w:rsid w:val="00FD284A"/>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6843"/>
  <w15:chartTrackingRefBased/>
  <w15:docId w15:val="{EA3D8466-2A7D-41E7-8241-00B9219E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EDD"/>
    <w:pPr>
      <w:ind w:left="720"/>
      <w:contextualSpacing/>
    </w:pPr>
  </w:style>
  <w:style w:type="character" w:styleId="Hyperlink">
    <w:name w:val="Hyperlink"/>
    <w:basedOn w:val="DefaultParagraphFont"/>
    <w:uiPriority w:val="99"/>
    <w:rsid w:val="000E6207"/>
    <w:rPr>
      <w:rFonts w:cs="Times New Roman"/>
      <w:color w:val="0000FF"/>
      <w:u w:val="single"/>
    </w:rPr>
  </w:style>
  <w:style w:type="paragraph" w:styleId="FootnoteText">
    <w:name w:val="footnote text"/>
    <w:basedOn w:val="Normal"/>
    <w:link w:val="FootnoteTextChar"/>
    <w:uiPriority w:val="99"/>
    <w:rsid w:val="000E62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620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E6207"/>
    <w:rPr>
      <w:rFonts w:cs="Times New Roman"/>
      <w:vertAlign w:val="superscript"/>
    </w:rPr>
  </w:style>
  <w:style w:type="character" w:styleId="FollowedHyperlink">
    <w:name w:val="FollowedHyperlink"/>
    <w:basedOn w:val="DefaultParagraphFont"/>
    <w:uiPriority w:val="99"/>
    <w:semiHidden/>
    <w:unhideWhenUsed/>
    <w:rsid w:val="002E7921"/>
    <w:rPr>
      <w:color w:val="954F72" w:themeColor="followedHyperlink"/>
      <w:u w:val="single"/>
    </w:rPr>
  </w:style>
  <w:style w:type="character" w:styleId="UnresolvedMention">
    <w:name w:val="Unresolved Mention"/>
    <w:basedOn w:val="DefaultParagraphFont"/>
    <w:uiPriority w:val="99"/>
    <w:semiHidden/>
    <w:unhideWhenUsed/>
    <w:rsid w:val="002B5289"/>
    <w:rPr>
      <w:color w:val="605E5C"/>
      <w:shd w:val="clear" w:color="auto" w:fill="E1DFDD"/>
    </w:rPr>
  </w:style>
  <w:style w:type="paragraph" w:styleId="NormalWeb">
    <w:name w:val="Normal (Web)"/>
    <w:basedOn w:val="Normal"/>
    <w:uiPriority w:val="99"/>
    <w:unhideWhenUsed/>
    <w:rsid w:val="008A28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A28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9415A"/>
    <w:pPr>
      <w:spacing w:after="0" w:line="240" w:lineRule="auto"/>
      <w:ind w:firstLine="720"/>
    </w:pPr>
    <w:rPr>
      <w:rFonts w:ascii="Times New Roman" w:eastAsia="ヒラギノ角ゴ Pro W3"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1CAD.92155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784B-9C79-4059-BB8C-AFB13582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Keenan</dc:creator>
  <cp:keywords/>
  <dc:description/>
  <cp:lastModifiedBy>John Keenan</cp:lastModifiedBy>
  <cp:revision>181</cp:revision>
  <cp:lastPrinted>2024-04-12T20:23:00Z</cp:lastPrinted>
  <dcterms:created xsi:type="dcterms:W3CDTF">2024-02-21T17:38:00Z</dcterms:created>
  <dcterms:modified xsi:type="dcterms:W3CDTF">2024-04-12T20:39:00Z</dcterms:modified>
</cp:coreProperties>
</file>